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ind w:left="-120" w:leftChars="-50" w:right="-120" w:rightChars="-50"/>
        <w:jc w:val="center"/>
        <w:rPr>
          <w:rFonts w:hint="eastAsia"/>
          <w:b/>
          <w:sz w:val="44"/>
          <w:szCs w:val="48"/>
        </w:rPr>
      </w:pPr>
    </w:p>
    <w:p>
      <w:pPr>
        <w:spacing w:before="156" w:beforeLines="50" w:after="156" w:afterLines="50" w:line="360" w:lineRule="auto"/>
        <w:ind w:left="-120" w:leftChars="-50" w:right="-120" w:rightChars="-50"/>
        <w:jc w:val="center"/>
        <w:rPr>
          <w:b/>
          <w:sz w:val="44"/>
          <w:szCs w:val="48"/>
        </w:rPr>
      </w:pPr>
    </w:p>
    <w:p>
      <w:pPr>
        <w:spacing w:before="156" w:beforeLines="50" w:after="156" w:afterLines="50" w:line="360" w:lineRule="auto"/>
        <w:ind w:left="-120" w:leftChars="-50" w:right="-120" w:rightChars="-50"/>
        <w:jc w:val="center"/>
        <w:rPr>
          <w:b/>
          <w:sz w:val="44"/>
          <w:szCs w:val="48"/>
        </w:rPr>
      </w:pPr>
    </w:p>
    <w:p>
      <w:pPr>
        <w:spacing w:before="156" w:beforeLines="50" w:after="156" w:afterLines="50" w:line="360" w:lineRule="auto"/>
        <w:ind w:left="-120" w:leftChars="-50" w:right="-120" w:rightChars="-50"/>
        <w:jc w:val="center"/>
        <w:rPr>
          <w:b/>
          <w:sz w:val="44"/>
          <w:szCs w:val="48"/>
        </w:rPr>
      </w:pPr>
      <w:r>
        <w:rPr>
          <w:b/>
          <w:sz w:val="44"/>
          <w:szCs w:val="48"/>
        </w:rPr>
        <w:t>农业行业标准</w:t>
      </w:r>
    </w:p>
    <w:p>
      <w:pPr>
        <w:spacing w:line="900" w:lineRule="atLeast"/>
        <w:ind w:right="-120" w:rightChars="-50"/>
        <w:jc w:val="center"/>
        <w:rPr>
          <w:rFonts w:ascii="宋体" w:hAnsi="宋体"/>
          <w:b/>
          <w:sz w:val="44"/>
          <w:szCs w:val="48"/>
        </w:rPr>
      </w:pPr>
      <w:r>
        <w:rPr>
          <w:rFonts w:ascii="宋体" w:hAnsi="宋体"/>
          <w:b/>
          <w:sz w:val="44"/>
          <w:szCs w:val="48"/>
        </w:rPr>
        <w:t>《</w:t>
      </w:r>
      <w:r>
        <w:rPr>
          <w:rFonts w:hint="eastAsia" w:ascii="宋体" w:hAnsi="宋体"/>
          <w:b/>
          <w:sz w:val="44"/>
          <w:szCs w:val="48"/>
        </w:rPr>
        <w:t>生牛乳中体细胞数控制技术规范</w:t>
      </w:r>
      <w:r>
        <w:rPr>
          <w:rFonts w:ascii="宋体" w:hAnsi="宋体"/>
          <w:b/>
          <w:sz w:val="44"/>
          <w:szCs w:val="48"/>
        </w:rPr>
        <w:t>》</w:t>
      </w:r>
    </w:p>
    <w:p>
      <w:pPr>
        <w:spacing w:before="156" w:beforeLines="50" w:after="156" w:afterLines="50" w:line="360" w:lineRule="auto"/>
        <w:ind w:left="-120" w:leftChars="-50" w:right="-120" w:rightChars="-50"/>
        <w:jc w:val="center"/>
        <w:rPr>
          <w:b/>
          <w:sz w:val="44"/>
          <w:szCs w:val="48"/>
        </w:rPr>
      </w:pPr>
      <w:r>
        <w:rPr>
          <w:rFonts w:hint="eastAsia"/>
          <w:b/>
          <w:sz w:val="44"/>
          <w:szCs w:val="48"/>
        </w:rPr>
        <w:t>（公开征求意见</w:t>
      </w:r>
      <w:r>
        <w:rPr>
          <w:b/>
          <w:sz w:val="44"/>
          <w:szCs w:val="48"/>
        </w:rPr>
        <w:t>稿）</w:t>
      </w:r>
    </w:p>
    <w:p>
      <w:pPr>
        <w:spacing w:before="156" w:beforeLines="50" w:after="156" w:afterLines="50" w:line="360" w:lineRule="auto"/>
        <w:jc w:val="center"/>
        <w:rPr>
          <w:b/>
          <w:sz w:val="44"/>
          <w:szCs w:val="48"/>
        </w:rPr>
      </w:pPr>
      <w:r>
        <w:rPr>
          <w:b/>
          <w:sz w:val="44"/>
          <w:szCs w:val="48"/>
        </w:rPr>
        <w:t>编制说明</w:t>
      </w:r>
    </w:p>
    <w:p>
      <w:pPr>
        <w:spacing w:line="480" w:lineRule="auto"/>
        <w:jc w:val="center"/>
        <w:rPr>
          <w:b/>
          <w:sz w:val="44"/>
          <w:szCs w:val="48"/>
        </w:rPr>
      </w:pPr>
    </w:p>
    <w:p>
      <w:pPr>
        <w:spacing w:line="480" w:lineRule="auto"/>
        <w:rPr>
          <w:b/>
          <w:sz w:val="52"/>
          <w:szCs w:val="52"/>
        </w:rPr>
      </w:pPr>
    </w:p>
    <w:p>
      <w:pPr>
        <w:spacing w:line="480" w:lineRule="auto"/>
        <w:rPr>
          <w:b/>
          <w:sz w:val="52"/>
          <w:szCs w:val="52"/>
        </w:rPr>
      </w:pPr>
    </w:p>
    <w:p>
      <w:pPr>
        <w:spacing w:line="480" w:lineRule="auto"/>
        <w:rPr>
          <w:b/>
          <w:sz w:val="52"/>
          <w:szCs w:val="52"/>
        </w:rPr>
      </w:pPr>
    </w:p>
    <w:p>
      <w:pPr>
        <w:spacing w:line="480" w:lineRule="auto"/>
        <w:rPr>
          <w:b/>
          <w:sz w:val="52"/>
          <w:szCs w:val="52"/>
        </w:rPr>
      </w:pPr>
    </w:p>
    <w:p>
      <w:pPr>
        <w:spacing w:line="360" w:lineRule="auto"/>
        <w:jc w:val="center"/>
        <w:rPr>
          <w:b/>
          <w:sz w:val="52"/>
          <w:szCs w:val="52"/>
        </w:rPr>
      </w:pPr>
    </w:p>
    <w:p>
      <w:pPr>
        <w:spacing w:line="360" w:lineRule="auto"/>
        <w:ind w:right="-7" w:rightChars="-3"/>
        <w:jc w:val="center"/>
        <w:rPr>
          <w:rFonts w:ascii="仿宋" w:hAnsi="仿宋" w:eastAsia="仿宋" w:cs="仿宋"/>
          <w:bCs/>
          <w:sz w:val="32"/>
          <w:szCs w:val="36"/>
        </w:rPr>
      </w:pPr>
      <w:r>
        <w:rPr>
          <w:rFonts w:hint="eastAsia" w:ascii="仿宋" w:hAnsi="仿宋" w:eastAsia="仿宋" w:cs="仿宋"/>
          <w:bCs/>
          <w:sz w:val="32"/>
          <w:szCs w:val="36"/>
        </w:rPr>
        <w:t>中国农业科学院北京畜牧兽医研究所</w:t>
      </w:r>
    </w:p>
    <w:p>
      <w:pPr>
        <w:spacing w:line="360" w:lineRule="auto"/>
        <w:ind w:right="-7" w:rightChars="-3"/>
        <w:jc w:val="center"/>
        <w:rPr>
          <w:rFonts w:ascii="仿宋" w:hAnsi="仿宋" w:eastAsia="仿宋" w:cs="仿宋"/>
          <w:bCs/>
          <w:sz w:val="32"/>
          <w:szCs w:val="36"/>
        </w:rPr>
      </w:pPr>
      <w:r>
        <w:rPr>
          <w:rFonts w:hint="eastAsia" w:ascii="仿宋" w:hAnsi="仿宋" w:eastAsia="仿宋" w:cs="仿宋"/>
          <w:bCs/>
          <w:sz w:val="32"/>
          <w:szCs w:val="36"/>
        </w:rPr>
        <w:t>农业农村部奶产品质量安全风险评估实验室（北京）</w:t>
      </w:r>
    </w:p>
    <w:p>
      <w:pPr>
        <w:spacing w:line="360" w:lineRule="auto"/>
        <w:ind w:right="-7" w:rightChars="-3"/>
        <w:jc w:val="center"/>
        <w:rPr>
          <w:rFonts w:ascii="仿宋" w:hAnsi="仿宋" w:eastAsia="仿宋" w:cs="仿宋"/>
          <w:bCs/>
          <w:sz w:val="32"/>
          <w:szCs w:val="36"/>
        </w:rPr>
      </w:pPr>
      <w:r>
        <w:rPr>
          <w:rFonts w:hint="eastAsia" w:ascii="仿宋" w:hAnsi="仿宋" w:eastAsia="仿宋" w:cs="仿宋"/>
          <w:bCs/>
          <w:sz w:val="32"/>
          <w:szCs w:val="36"/>
        </w:rPr>
        <w:t>农业农村部奶及奶制品质量监督检验测试中心（北京）</w:t>
      </w:r>
    </w:p>
    <w:p>
      <w:pPr>
        <w:spacing w:line="360" w:lineRule="auto"/>
        <w:ind w:right="-7" w:rightChars="-3"/>
        <w:jc w:val="center"/>
        <w:rPr>
          <w:rFonts w:ascii="仿宋" w:hAnsi="仿宋" w:eastAsia="仿宋" w:cs="仿宋"/>
          <w:bCs/>
          <w:sz w:val="32"/>
          <w:szCs w:val="36"/>
        </w:rPr>
      </w:pPr>
      <w:r>
        <w:rPr>
          <w:rFonts w:hint="eastAsia" w:ascii="仿宋" w:hAnsi="仿宋" w:eastAsia="仿宋" w:cs="仿宋"/>
          <w:bCs/>
          <w:sz w:val="32"/>
          <w:szCs w:val="36"/>
        </w:rPr>
        <w:t>青岛农业大学</w:t>
      </w:r>
    </w:p>
    <w:p>
      <w:pPr>
        <w:spacing w:line="360" w:lineRule="auto"/>
        <w:ind w:right="-7" w:rightChars="-3"/>
        <w:jc w:val="center"/>
        <w:rPr>
          <w:b/>
          <w:sz w:val="32"/>
          <w:szCs w:val="36"/>
        </w:rPr>
      </w:pPr>
      <w:r>
        <w:rPr>
          <w:rFonts w:hint="eastAsia" w:ascii="仿宋" w:hAnsi="仿宋" w:eastAsia="仿宋" w:cs="仿宋"/>
          <w:bCs/>
          <w:sz w:val="32"/>
          <w:szCs w:val="36"/>
        </w:rPr>
        <w:t>安徽省农业科学院畜牧兽医研究所</w:t>
      </w:r>
    </w:p>
    <w:p>
      <w:pPr>
        <w:spacing w:line="360" w:lineRule="auto"/>
        <w:jc w:val="center"/>
        <w:rPr>
          <w:b/>
          <w:sz w:val="36"/>
          <w:szCs w:val="36"/>
        </w:rPr>
      </w:pPr>
    </w:p>
    <w:p>
      <w:pPr>
        <w:pStyle w:val="57"/>
        <w:spacing w:before="156" w:beforeLines="50" w:after="156" w:afterLines="50" w:line="360" w:lineRule="auto"/>
        <w:rPr>
          <w:rFonts w:hint="default"/>
          <w:color w:val="000000"/>
        </w:rPr>
      </w:pPr>
    </w:p>
    <w:p>
      <w:pPr>
        <w:pStyle w:val="57"/>
        <w:spacing w:before="156" w:beforeLines="50" w:after="156" w:afterLines="50" w:line="360" w:lineRule="auto"/>
        <w:rPr>
          <w:rFonts w:hint="default"/>
          <w:color w:val="000000"/>
        </w:rPr>
      </w:pPr>
      <w:r>
        <w:rPr>
          <w:rFonts w:hint="default"/>
          <w:color w:val="000000"/>
        </w:rPr>
        <w:t>一、立项背景及任务来源</w:t>
      </w:r>
    </w:p>
    <w:p>
      <w:pPr>
        <w:pStyle w:val="58"/>
        <w:spacing w:before="156" w:beforeLines="50" w:after="156" w:afterLines="50" w:line="360" w:lineRule="auto"/>
        <w:rPr>
          <w:rFonts w:ascii="Times New Roman" w:hAnsi="Times New Roman"/>
          <w:color w:val="000000"/>
        </w:rPr>
      </w:pPr>
      <w:r>
        <w:rPr>
          <w:rFonts w:ascii="Times New Roman" w:hAnsi="Times New Roman"/>
          <w:color w:val="000000"/>
        </w:rPr>
        <w:t>（一）立项背景</w:t>
      </w:r>
    </w:p>
    <w:p>
      <w:pPr>
        <w:spacing w:before="156" w:beforeLines="50" w:after="156" w:afterLines="50" w:line="360" w:lineRule="auto"/>
        <w:ind w:firstLine="480" w:firstLineChars="200"/>
        <w:jc w:val="both"/>
        <w:rPr>
          <w:rFonts w:eastAsia="仿宋"/>
          <w:sz w:val="24"/>
          <w:szCs w:val="24"/>
        </w:rPr>
      </w:pPr>
      <w:r>
        <w:rPr>
          <w:rFonts w:eastAsia="仿宋"/>
          <w:sz w:val="24"/>
          <w:szCs w:val="24"/>
        </w:rPr>
        <w:t>牛奶营养价值丰富，富含各种脂肪酸、蛋白质、矿物质及维生素等，是人体所需营养物质的极好来源，加工生产的乳制品也是人们普遍喜爱的饮品，正所谓“一杯牛奶可以强壮一个民族”，西方人也在早时候把牛奶称作为“人类的保姆”，由此，牛奶被誉为最为接近完美的食物。奶业是现代农业的重要组成部分，是节粮、经济、高效型产业，世界上许多国家都把奶业生产放在畜牧业的首位，上世纪70年代印度的“白色革命”即是一个明证。奶业也是我国畜牧业的重要组成部分，发展奶牛养殖业是改善人民膳食结构、提高人民生活质量、增强人民体质、促进农民增收和农业增效的重要措施。近年来，我国奶业的发展越来越多地表现出畜牧业固有的周期性，受制于消费增长的放缓以及产业结构的调整，奶牛存栏量及牛奶产量呈现波动的态势。随着我国规模化牧场的发展，生乳产量位居世界第三，生乳品质已达到历史的最高水平，规模牛场的生乳合格率连年保持在99%以上，生乳质量标准不断提升，2019年我国参测奶牛平均产奶量达到了31.2 kg，乳脂率为3.96%，乳蛋白率为3.34%，牛奶平均产量及品质较2008年均有了极显著的提高。</w:t>
      </w:r>
    </w:p>
    <w:p>
      <w:pPr>
        <w:spacing w:before="156" w:beforeLines="50" w:after="156" w:afterLines="50" w:line="360" w:lineRule="auto"/>
        <w:ind w:firstLine="480" w:firstLineChars="200"/>
        <w:jc w:val="both"/>
        <w:rPr>
          <w:rFonts w:eastAsia="仿宋"/>
          <w:sz w:val="24"/>
          <w:szCs w:val="24"/>
        </w:rPr>
      </w:pPr>
      <w:r>
        <w:rPr>
          <w:rFonts w:eastAsia="仿宋"/>
          <w:sz w:val="24"/>
          <w:szCs w:val="24"/>
        </w:rPr>
        <w:t>随着国民生活水平的不断提高，人们对乳品质量安全越来越重视。优质生牛乳是保证乳制品质量安全的前提，而体细胞数是衡量奶牛乳腺感染和生乳品质的一个重要指标。牛奶中体细胞通常由巨噬细胞、淋巴细胞、嗜中性白细胞和少量乳腺组织上皮细胞等组成。国际奶业协会和美国国家乳腺炎委员会都建议健康奶牛乳中体细胞数一般在</w:t>
      </w:r>
      <w:bookmarkStart w:id="0" w:name="_Hlk56369250"/>
      <w:r>
        <w:rPr>
          <w:rFonts w:eastAsia="仿宋"/>
          <w:sz w:val="24"/>
          <w:szCs w:val="24"/>
        </w:rPr>
        <w:t>200000 scc/mL</w:t>
      </w:r>
      <w:bookmarkEnd w:id="0"/>
      <w:r>
        <w:rPr>
          <w:rFonts w:eastAsia="仿宋"/>
          <w:sz w:val="24"/>
          <w:szCs w:val="24"/>
        </w:rPr>
        <w:t>以内，当奶中体细胞数超过200000 scc/mL时，奶牛乳房将疑似受到细菌感染，而当体细胞数超过500000 scc/mL时，奶牛乳腺炎的发病率将会大大增加。研究表明，牛奶中体细胞数与奶产量呈显著负相关，当牛奶中体细胞数超过1000000 scc/mL，随奶中体细胞数逐渐增加，奶牛产奶量损失也显著增加，有文献报道可损失至2 kg以上。同时，体细胞数还与牛奶品质相关，随着体细胞数增加奶中乳糖、酪蛋白、乳脂肪等含量相应的下降，而酪蛋白水解产物和乳清蛋白特别是急性期蛋白以及氯离子和丙二醛含量增加，牛奶出现苦味等，综合营养价值降低，进而会危害消费者利益。</w:t>
      </w:r>
    </w:p>
    <w:p>
      <w:pPr>
        <w:spacing w:before="156" w:beforeLines="50" w:after="156" w:afterLines="50" w:line="360" w:lineRule="auto"/>
        <w:ind w:firstLine="480" w:firstLineChars="200"/>
        <w:jc w:val="both"/>
        <w:rPr>
          <w:rFonts w:eastAsia="仿宋"/>
          <w:b/>
          <w:sz w:val="24"/>
          <w:szCs w:val="24"/>
        </w:rPr>
      </w:pPr>
      <w:r>
        <w:rPr>
          <w:rFonts w:eastAsia="仿宋"/>
          <w:sz w:val="24"/>
          <w:szCs w:val="24"/>
        </w:rPr>
        <w:t>为了保障乳品质量和消费者利益，世界主要奶业发达国家对生乳中体细胞数制定了相应的收购标准，其中以欧盟2004年（EC）No.853、澳大利亚和新西兰2010年Code of Practice对生牛乳中体细胞数限定最为严格，规定生牛乳中体细胞数不高于400000 scc/mL。此外，加拿大2010年National Dairy Code Production and Processing Requirements也将生牛乳中体细胞数由不高于500000 scc/mL的限量提升为400000 scc/mL。美国2015年Grade A Pasteurized Milk Ordinance规定乳中体细胞数不高于750000 scc/mL。中国台湾地区CNS3055依据体细胞数对生乳进行了分级：A级≤300000</w:t>
      </w:r>
      <w:r>
        <w:rPr>
          <w:rFonts w:eastAsia="仿宋"/>
          <w:sz w:val="24"/>
          <w:szCs w:val="24"/>
          <w:vertAlign w:val="superscript"/>
        </w:rPr>
        <w:t xml:space="preserve"> </w:t>
      </w:r>
      <w:r>
        <w:rPr>
          <w:rFonts w:eastAsia="仿宋"/>
          <w:sz w:val="24"/>
          <w:szCs w:val="24"/>
        </w:rPr>
        <w:t>scc/mL； B级300000</w:t>
      </w:r>
      <w:r>
        <w:rPr>
          <w:sz w:val="24"/>
          <w:szCs w:val="24"/>
        </w:rPr>
        <w:t>～</w:t>
      </w:r>
      <w:r>
        <w:rPr>
          <w:rFonts w:eastAsia="仿宋"/>
          <w:sz w:val="24"/>
          <w:szCs w:val="24"/>
        </w:rPr>
        <w:t>500000</w:t>
      </w:r>
      <w:r>
        <w:rPr>
          <w:rFonts w:eastAsia="仿宋"/>
          <w:sz w:val="24"/>
          <w:szCs w:val="24"/>
          <w:vertAlign w:val="superscript"/>
        </w:rPr>
        <w:t xml:space="preserve"> </w:t>
      </w:r>
      <w:r>
        <w:rPr>
          <w:rFonts w:eastAsia="仿宋"/>
          <w:sz w:val="24"/>
          <w:szCs w:val="24"/>
        </w:rPr>
        <w:t>scc/mL；C级 500000</w:t>
      </w:r>
      <w:r>
        <w:rPr>
          <w:sz w:val="24"/>
          <w:szCs w:val="24"/>
        </w:rPr>
        <w:t>～</w:t>
      </w:r>
      <w:r>
        <w:rPr>
          <w:rFonts w:eastAsia="仿宋"/>
          <w:sz w:val="24"/>
          <w:szCs w:val="24"/>
        </w:rPr>
        <w:t>800000</w:t>
      </w:r>
      <w:r>
        <w:rPr>
          <w:rFonts w:eastAsia="仿宋"/>
          <w:sz w:val="24"/>
          <w:szCs w:val="24"/>
          <w:vertAlign w:val="superscript"/>
        </w:rPr>
        <w:t xml:space="preserve"> </w:t>
      </w:r>
      <w:r>
        <w:rPr>
          <w:rFonts w:eastAsia="仿宋"/>
          <w:sz w:val="24"/>
          <w:szCs w:val="24"/>
        </w:rPr>
        <w:t>scc/mL； D级800000</w:t>
      </w:r>
      <w:r>
        <w:rPr>
          <w:sz w:val="24"/>
          <w:szCs w:val="24"/>
        </w:rPr>
        <w:t>～</w:t>
      </w:r>
      <w:r>
        <w:rPr>
          <w:rFonts w:eastAsia="仿宋"/>
          <w:sz w:val="24"/>
          <w:szCs w:val="24"/>
        </w:rPr>
        <w:t>1000000</w:t>
      </w:r>
      <w:r>
        <w:rPr>
          <w:rFonts w:eastAsia="仿宋"/>
          <w:sz w:val="24"/>
          <w:szCs w:val="24"/>
          <w:vertAlign w:val="superscript"/>
        </w:rPr>
        <w:t xml:space="preserve"> </w:t>
      </w:r>
      <w:r>
        <w:rPr>
          <w:rFonts w:eastAsia="仿宋"/>
          <w:sz w:val="24"/>
          <w:szCs w:val="24"/>
        </w:rPr>
        <w:t>scc/mL。由于我国技术储备不足，养殖科技水平不高，导致奶牛养殖水平参差不齐，生乳品质特别是生乳中体细胞数的防控没有被重视，而中小型养殖场（户）往往只关心奶牛临床型乳腺炎，却忽略了隐性乳腺炎也是造成体细胞数高的原因之一。另外，奶牛养殖场牛群没有参加生产性能测定或参加了生产性能测定却不能很好的用数据指导于奶牛生产。最为值得关注的是，我国乳品加工企业收购生牛乳时，也将体细胞数列为一项重要的衡量指标，体细胞数限制在400000 scc/mL，超过700000或1000000scc/mL时就会拒收。由此表明，乳中体细胞数与奶牛养殖场的经济收益密切相关。我国目前还未对生牛乳中体细胞数进行限定，《鲜乳卫生标准》 GB 19301-2003 及《食品安全国家标准 生乳》 GB 19301-2010中均未对生牛乳中体细胞数进行限定。国内部分团体标准对体细胞数有明确规定，中国奶业协会团体标准T/DAC 003—2017《学生饮用奶 生牛乳》中规定体细胞数应不超过400000 scc/mL，中国农垦乳业联盟发布的T/SFLA001 2019《中国农垦乳业联盟产品标准 生鲜乳》，规定生牛乳中体细胞数为300000 scc/mL，而全国奶牛养殖及牛奶生产水平不一，需制定符合我国奶业生产现状的技术规范以指导生产。因此，为控制生牛乳中体细胞数，保障优质生牛乳的生产及乳产品供应，促进奶业的可持续健康发展，制定生牛乳中体细胞数控制技术规范具有重要的生产实践意义。</w:t>
      </w:r>
    </w:p>
    <w:p>
      <w:pPr>
        <w:pStyle w:val="58"/>
        <w:spacing w:before="156" w:beforeLines="50" w:after="156" w:afterLines="50" w:line="360" w:lineRule="auto"/>
        <w:rPr>
          <w:color w:val="000000"/>
          <w:sz w:val="28"/>
          <w:szCs w:val="32"/>
        </w:rPr>
      </w:pPr>
      <w:r>
        <w:rPr>
          <w:rFonts w:hint="eastAsia"/>
          <w:color w:val="000000"/>
          <w:sz w:val="28"/>
          <w:szCs w:val="32"/>
        </w:rPr>
        <w:t>（二）任务来源</w:t>
      </w:r>
    </w:p>
    <w:p>
      <w:pPr>
        <w:spacing w:before="156" w:beforeLines="50" w:after="156" w:afterLines="50" w:line="360" w:lineRule="auto"/>
        <w:ind w:firstLine="480" w:firstLineChars="200"/>
        <w:jc w:val="both"/>
        <w:rPr>
          <w:rFonts w:eastAsia="仿宋"/>
          <w:sz w:val="24"/>
          <w:szCs w:val="24"/>
        </w:rPr>
      </w:pPr>
      <w:r>
        <w:rPr>
          <w:rFonts w:eastAsia="仿宋"/>
          <w:sz w:val="24"/>
          <w:szCs w:val="24"/>
        </w:rPr>
        <w:t>《生乳中体细胞数控制技术规范》的起草任务来自《农业农村部办公厅关于下达2019年农业国家、行业标准制定和修订项目任务的通知》（农质标函</w:t>
      </w:r>
      <w:r>
        <w:rPr>
          <w:iCs/>
          <w:color w:val="000000"/>
          <w:sz w:val="24"/>
          <w:szCs w:val="24"/>
        </w:rPr>
        <w:t>〔2019〕</w:t>
      </w:r>
      <w:r>
        <w:rPr>
          <w:rFonts w:eastAsia="仿宋"/>
          <w:sz w:val="24"/>
          <w:szCs w:val="24"/>
        </w:rPr>
        <w:t>77号），项目计划号农质标函</w:t>
      </w:r>
      <w:r>
        <w:rPr>
          <w:iCs/>
          <w:color w:val="000000"/>
          <w:sz w:val="24"/>
          <w:szCs w:val="24"/>
        </w:rPr>
        <w:t>〔2019〕</w:t>
      </w:r>
      <w:r>
        <w:rPr>
          <w:rFonts w:eastAsia="仿宋"/>
          <w:sz w:val="24"/>
          <w:szCs w:val="24"/>
        </w:rPr>
        <w:t>77号201920，项目名称为</w:t>
      </w:r>
      <w:r>
        <w:rPr>
          <w:rFonts w:hint="eastAsia" w:eastAsia="仿宋"/>
          <w:sz w:val="24"/>
          <w:szCs w:val="24"/>
          <w:lang w:eastAsia="zh-CN"/>
        </w:rPr>
        <w:t>《</w:t>
      </w:r>
      <w:r>
        <w:rPr>
          <w:rFonts w:eastAsia="仿宋"/>
          <w:sz w:val="24"/>
          <w:szCs w:val="24"/>
        </w:rPr>
        <w:t>生乳中体细胞数控制规范</w:t>
      </w:r>
      <w:r>
        <w:rPr>
          <w:rFonts w:hint="eastAsia" w:eastAsia="仿宋"/>
          <w:sz w:val="24"/>
          <w:szCs w:val="24"/>
          <w:lang w:eastAsia="zh-CN"/>
        </w:rPr>
        <w:t>》</w:t>
      </w:r>
      <w:r>
        <w:rPr>
          <w:rFonts w:eastAsia="仿宋_GB2312"/>
          <w:iCs/>
          <w:color w:val="000000"/>
          <w:sz w:val="24"/>
          <w:szCs w:val="24"/>
        </w:rPr>
        <w:t>，</w:t>
      </w:r>
      <w:r>
        <w:rPr>
          <w:rFonts w:hint="eastAsia" w:eastAsia="仿宋_GB2312"/>
          <w:iCs/>
          <w:color w:val="000000"/>
          <w:sz w:val="24"/>
          <w:szCs w:val="24"/>
          <w:lang w:val="en-US" w:eastAsia="zh-CN"/>
        </w:rPr>
        <w:t>由</w:t>
      </w:r>
      <w:r>
        <w:rPr>
          <w:rFonts w:eastAsia="仿宋"/>
          <w:sz w:val="24"/>
          <w:szCs w:val="24"/>
        </w:rPr>
        <w:t>中国农业科学院北京畜牧兽医研究所、农业农村部奶产品质量安全风险评估实验室（北京）、农业农村部奶及奶制品质量监督检验测试中心（北京）、青岛农业大学和安徽省农业科学院畜牧兽医研究所起草。</w:t>
      </w:r>
    </w:p>
    <w:p>
      <w:pPr>
        <w:pStyle w:val="57"/>
        <w:spacing w:before="156" w:beforeLines="50" w:after="156" w:afterLines="50" w:line="360" w:lineRule="auto"/>
        <w:rPr>
          <w:rFonts w:hint="default"/>
          <w:color w:val="000000"/>
        </w:rPr>
      </w:pPr>
      <w:r>
        <w:rPr>
          <w:color w:val="000000"/>
        </w:rPr>
        <w:t>二、主要工作过程</w:t>
      </w:r>
    </w:p>
    <w:p>
      <w:pPr>
        <w:spacing w:before="156" w:beforeLines="50" w:after="156" w:afterLines="50" w:line="360" w:lineRule="auto"/>
        <w:ind w:firstLine="480" w:firstLineChars="200"/>
        <w:rPr>
          <w:rFonts w:ascii="仿宋" w:hAnsi="仿宋" w:eastAsia="仿宋" w:cs="仿宋"/>
          <w:sz w:val="24"/>
          <w:szCs w:val="24"/>
        </w:rPr>
      </w:pPr>
      <w:r>
        <w:rPr>
          <w:rFonts w:hint="eastAsia" w:ascii="仿宋" w:hAnsi="仿宋" w:eastAsia="仿宋" w:cs="仿宋"/>
          <w:sz w:val="24"/>
          <w:szCs w:val="24"/>
        </w:rPr>
        <w:t>本标准制定工作分以下几个阶段进行：</w:t>
      </w:r>
    </w:p>
    <w:p>
      <w:pPr>
        <w:spacing w:before="156" w:beforeLines="50" w:after="156" w:afterLines="50" w:line="360" w:lineRule="auto"/>
        <w:rPr>
          <w:rFonts w:ascii="仿宋" w:hAnsi="仿宋" w:eastAsia="仿宋" w:cs="仿宋"/>
          <w:b/>
          <w:bCs/>
          <w:color w:val="000000"/>
          <w:sz w:val="24"/>
          <w:szCs w:val="21"/>
        </w:rPr>
      </w:pPr>
      <w:r>
        <w:rPr>
          <w:rFonts w:hint="eastAsia" w:ascii="仿宋" w:hAnsi="仿宋" w:eastAsia="仿宋" w:cs="仿宋"/>
          <w:b/>
          <w:bCs/>
          <w:color w:val="000000"/>
          <w:sz w:val="24"/>
          <w:szCs w:val="21"/>
        </w:rPr>
        <w:t>第一阶段：标准起草组成立</w:t>
      </w:r>
    </w:p>
    <w:p>
      <w:pPr>
        <w:spacing w:before="156" w:beforeLines="50" w:after="156" w:afterLines="50" w:line="360" w:lineRule="auto"/>
        <w:ind w:firstLine="480" w:firstLineChars="200"/>
        <w:rPr>
          <w:rFonts w:eastAsia="仿宋"/>
          <w:b/>
          <w:bCs/>
          <w:color w:val="000000"/>
          <w:sz w:val="24"/>
          <w:szCs w:val="24"/>
        </w:rPr>
      </w:pPr>
      <w:r>
        <w:rPr>
          <w:rFonts w:eastAsia="仿宋"/>
          <w:sz w:val="24"/>
          <w:szCs w:val="24"/>
        </w:rPr>
        <w:t>在接到标准制定任务后，2019年1月成立了标准起草组，中国农业科学院北京畜牧兽医研究所张养东副研究员和青岛农业大学杨永新教授负责制定工作计划、项目分工和工作总结；农业农村部奶产品质量安全风险评估实验室（北京）、青岛农业大学和安徽省农业科学院畜牧兽医研究所其他人员负责标准关键点的验证工作。</w:t>
      </w:r>
    </w:p>
    <w:p>
      <w:pPr>
        <w:spacing w:before="156" w:beforeLines="50" w:after="156" w:afterLines="50" w:line="360" w:lineRule="auto"/>
        <w:rPr>
          <w:rFonts w:ascii="仿宋" w:hAnsi="仿宋" w:eastAsia="仿宋" w:cs="仿宋"/>
          <w:b/>
          <w:bCs/>
          <w:color w:val="000000"/>
          <w:sz w:val="24"/>
          <w:szCs w:val="21"/>
        </w:rPr>
      </w:pPr>
      <w:r>
        <w:rPr>
          <w:rFonts w:hint="eastAsia" w:ascii="仿宋" w:hAnsi="仿宋" w:eastAsia="仿宋" w:cs="仿宋"/>
          <w:b/>
          <w:bCs/>
          <w:color w:val="000000"/>
          <w:sz w:val="24"/>
          <w:szCs w:val="21"/>
        </w:rPr>
        <w:t>第二阶段：前期预研及调研分析</w:t>
      </w:r>
    </w:p>
    <w:p>
      <w:pPr>
        <w:keepNext w:val="0"/>
        <w:keepLines w:val="0"/>
        <w:pageBreakBefore w:val="0"/>
        <w:widowControl/>
        <w:kinsoku/>
        <w:wordWrap/>
        <w:overflowPunct/>
        <w:topLinePunct w:val="0"/>
        <w:autoSpaceDE/>
        <w:autoSpaceDN/>
        <w:bidi w:val="0"/>
        <w:adjustRightInd/>
        <w:snapToGrid/>
        <w:spacing w:before="156" w:beforeLines="50" w:line="360" w:lineRule="auto"/>
        <w:ind w:firstLine="480" w:firstLineChars="200"/>
        <w:textAlignment w:val="auto"/>
        <w:rPr>
          <w:rFonts w:eastAsia="仿宋"/>
          <w:sz w:val="24"/>
          <w:szCs w:val="24"/>
        </w:rPr>
      </w:pPr>
      <w:r>
        <w:rPr>
          <w:rFonts w:eastAsia="仿宋"/>
          <w:sz w:val="24"/>
          <w:szCs w:val="24"/>
        </w:rPr>
        <w:t>本标准的制定以满足奶牛养殖场体细胞数控制技术标准化生产及学术交流需要为目的，以现有的研究成果和成熟的技术为支撑，确定的主要技术内容以符合泌乳奶牛体细胞数控制为前提，充分考虑奶牛养殖场生产实际，结合奶牛产业发展规律和地域差异，以有利于标准的推广和可操作性为重要因素，参考国内外相关的标准或法律法规，并注意吸收近年来奶业生产领域的新成果、新技术，进行标准制定。</w:t>
      </w:r>
    </w:p>
    <w:p>
      <w:pPr>
        <w:spacing w:before="156" w:beforeLines="50" w:after="156" w:afterLines="50" w:line="360" w:lineRule="auto"/>
        <w:ind w:firstLine="480" w:firstLineChars="200"/>
        <w:rPr>
          <w:rFonts w:eastAsia="仿宋"/>
          <w:sz w:val="24"/>
          <w:szCs w:val="24"/>
        </w:rPr>
      </w:pPr>
      <w:r>
        <w:rPr>
          <w:rFonts w:eastAsia="仿宋"/>
          <w:sz w:val="24"/>
          <w:szCs w:val="24"/>
        </w:rPr>
        <w:t>由于本文件涉及的内容在奶业发达国家已经有广泛使用的参考指标，考虑到我国奶业发展现状以及与国际奶业发达国家有效接轨，在编写本文件之前，项目组首先查阅了美国和新西兰等奶业发达国家和地区的相关规范的文本，CNKI和NCBI等国内外专业期刊发表的文献等技术资料，选择具有代表性的参考资料作为标准起草中的主要技术规范的参考文本。此外，本文件制定团队还对奶牛养殖场生产情况和乳品加工企业的收购标准进行了调研，根据实际状况有针对性的制定养殖企业的生产技术规范，满足行业发展的需要。</w:t>
      </w:r>
    </w:p>
    <w:p>
      <w:pPr>
        <w:autoSpaceDE w:val="0"/>
        <w:autoSpaceDN w:val="0"/>
        <w:spacing w:before="156" w:beforeLines="50" w:after="156" w:afterLines="50" w:line="360" w:lineRule="auto"/>
        <w:ind w:firstLine="480" w:firstLineChars="200"/>
        <w:jc w:val="both"/>
        <w:rPr>
          <w:rFonts w:eastAsia="仿宋"/>
          <w:sz w:val="24"/>
          <w:szCs w:val="24"/>
        </w:rPr>
      </w:pPr>
      <w:bookmarkStart w:id="1" w:name="OLE_LINK38"/>
      <w:r>
        <w:rPr>
          <w:rFonts w:eastAsia="仿宋"/>
          <w:sz w:val="24"/>
          <w:szCs w:val="24"/>
        </w:rPr>
        <w:t xml:space="preserve">美国-Grade A pasteurized milk Ordinance”2015版SECTION 7. standards for grade "A" milk and milk products. </w:t>
      </w:r>
    </w:p>
    <w:bookmarkEnd w:id="1"/>
    <w:p>
      <w:pPr>
        <w:keepNext w:val="0"/>
        <w:keepLines w:val="0"/>
        <w:pageBreakBefore w:val="0"/>
        <w:widowControl/>
        <w:kinsoku/>
        <w:wordWrap/>
        <w:overflowPunct/>
        <w:topLinePunct w:val="0"/>
        <w:autoSpaceDE w:val="0"/>
        <w:autoSpaceDN w:val="0"/>
        <w:bidi w:val="0"/>
        <w:adjustRightInd/>
        <w:snapToGrid/>
        <w:spacing w:before="156" w:beforeLines="50" w:line="360" w:lineRule="auto"/>
        <w:ind w:firstLine="480" w:firstLineChars="200"/>
        <w:jc w:val="both"/>
        <w:textAlignment w:val="auto"/>
        <w:rPr>
          <w:rFonts w:eastAsia="仿宋"/>
          <w:sz w:val="24"/>
          <w:szCs w:val="24"/>
        </w:rPr>
      </w:pPr>
      <w:r>
        <w:rPr>
          <w:rFonts w:eastAsia="仿宋"/>
          <w:sz w:val="24"/>
          <w:szCs w:val="24"/>
        </w:rPr>
        <w:t xml:space="preserve">欧盟- Regulation </w:t>
      </w:r>
      <w:bookmarkStart w:id="2" w:name="OLE_LINK59"/>
      <w:r>
        <w:rPr>
          <w:rFonts w:eastAsia="仿宋"/>
          <w:sz w:val="24"/>
          <w:szCs w:val="24"/>
        </w:rPr>
        <w:t>(EC) No 853/2004</w:t>
      </w:r>
      <w:bookmarkEnd w:id="2"/>
      <w:r>
        <w:rPr>
          <w:rFonts w:eastAsia="仿宋"/>
          <w:sz w:val="24"/>
          <w:szCs w:val="24"/>
        </w:rPr>
        <w:t xml:space="preserve"> of the European Parliament and of the Council of 29 April 2004 laying down specific hygiene rules for food of animal origin, Official Journal of the European Union. </w:t>
      </w:r>
    </w:p>
    <w:p>
      <w:pPr>
        <w:keepNext w:val="0"/>
        <w:keepLines w:val="0"/>
        <w:pageBreakBefore w:val="0"/>
        <w:widowControl/>
        <w:kinsoku/>
        <w:wordWrap/>
        <w:overflowPunct/>
        <w:topLinePunct w:val="0"/>
        <w:autoSpaceDE w:val="0"/>
        <w:autoSpaceDN w:val="0"/>
        <w:bidi w:val="0"/>
        <w:adjustRightInd/>
        <w:snapToGrid/>
        <w:spacing w:before="156" w:beforeLines="50" w:line="360" w:lineRule="auto"/>
        <w:ind w:firstLine="480" w:firstLineChars="200"/>
        <w:jc w:val="both"/>
        <w:textAlignment w:val="auto"/>
        <w:rPr>
          <w:rFonts w:eastAsia="仿宋"/>
          <w:sz w:val="24"/>
          <w:szCs w:val="24"/>
        </w:rPr>
      </w:pPr>
      <w:r>
        <w:rPr>
          <w:rFonts w:eastAsia="仿宋"/>
          <w:sz w:val="24"/>
          <w:szCs w:val="24"/>
        </w:rPr>
        <w:t>新西兰-DPC2: Animal Products (Dairy) Approved Criteria for Farm Dairies，New Zealand Food Safety Authority.</w:t>
      </w:r>
    </w:p>
    <w:p>
      <w:pPr>
        <w:keepNext w:val="0"/>
        <w:keepLines w:val="0"/>
        <w:pageBreakBefore w:val="0"/>
        <w:widowControl/>
        <w:kinsoku/>
        <w:wordWrap/>
        <w:overflowPunct/>
        <w:topLinePunct w:val="0"/>
        <w:autoSpaceDE w:val="0"/>
        <w:autoSpaceDN w:val="0"/>
        <w:bidi w:val="0"/>
        <w:adjustRightInd/>
        <w:snapToGrid/>
        <w:spacing w:before="156" w:beforeLines="50" w:line="360" w:lineRule="auto"/>
        <w:ind w:firstLine="480" w:firstLineChars="200"/>
        <w:jc w:val="both"/>
        <w:textAlignment w:val="auto"/>
        <w:rPr>
          <w:rFonts w:eastAsia="仿宋"/>
          <w:sz w:val="24"/>
          <w:szCs w:val="24"/>
        </w:rPr>
      </w:pPr>
      <w:r>
        <w:rPr>
          <w:rFonts w:eastAsia="仿宋"/>
          <w:sz w:val="24"/>
          <w:szCs w:val="24"/>
        </w:rPr>
        <w:t>加拿大- Canadian Food Inspection System. National Dairy Code Production and Processing Requirements.</w:t>
      </w:r>
    </w:p>
    <w:p>
      <w:pPr>
        <w:keepNext w:val="0"/>
        <w:keepLines w:val="0"/>
        <w:pageBreakBefore w:val="0"/>
        <w:widowControl/>
        <w:kinsoku/>
        <w:wordWrap/>
        <w:overflowPunct/>
        <w:topLinePunct w:val="0"/>
        <w:bidi w:val="0"/>
        <w:adjustRightInd/>
        <w:snapToGrid/>
        <w:spacing w:before="156" w:beforeLines="50" w:line="360" w:lineRule="auto"/>
        <w:ind w:firstLine="480" w:firstLineChars="200"/>
        <w:textAlignment w:val="auto"/>
        <w:rPr>
          <w:rFonts w:eastAsia="仿宋"/>
          <w:sz w:val="24"/>
          <w:szCs w:val="24"/>
        </w:rPr>
      </w:pPr>
      <w:r>
        <w:rPr>
          <w:rFonts w:eastAsia="仿宋"/>
          <w:sz w:val="24"/>
          <w:szCs w:val="24"/>
        </w:rPr>
        <w:t>中国台湾-CNS 3055-N5092 生乳</w:t>
      </w:r>
    </w:p>
    <w:p>
      <w:pPr>
        <w:keepNext w:val="0"/>
        <w:keepLines w:val="0"/>
        <w:pageBreakBefore w:val="0"/>
        <w:widowControl/>
        <w:kinsoku/>
        <w:wordWrap/>
        <w:overflowPunct/>
        <w:topLinePunct w:val="0"/>
        <w:bidi w:val="0"/>
        <w:adjustRightInd/>
        <w:snapToGrid/>
        <w:spacing w:before="156" w:beforeLines="50" w:line="360" w:lineRule="auto"/>
        <w:ind w:firstLine="480" w:firstLineChars="200"/>
        <w:textAlignment w:val="auto"/>
        <w:rPr>
          <w:rFonts w:eastAsia="仿宋"/>
          <w:sz w:val="24"/>
          <w:szCs w:val="24"/>
        </w:rPr>
      </w:pPr>
      <w:bookmarkStart w:id="3" w:name="_Hlk56441072"/>
      <w:r>
        <w:rPr>
          <w:rFonts w:eastAsia="仿宋"/>
          <w:sz w:val="24"/>
          <w:szCs w:val="24"/>
        </w:rPr>
        <w:t>GB 13078 《饲料卫生标准》</w:t>
      </w:r>
    </w:p>
    <w:p>
      <w:pPr>
        <w:keepNext w:val="0"/>
        <w:keepLines w:val="0"/>
        <w:pageBreakBefore w:val="0"/>
        <w:widowControl/>
        <w:kinsoku/>
        <w:wordWrap/>
        <w:overflowPunct/>
        <w:topLinePunct w:val="0"/>
        <w:bidi w:val="0"/>
        <w:adjustRightInd/>
        <w:snapToGrid/>
        <w:spacing w:before="156" w:beforeLines="50" w:line="360" w:lineRule="auto"/>
        <w:ind w:firstLine="480" w:firstLineChars="200"/>
        <w:textAlignment w:val="auto"/>
        <w:rPr>
          <w:rFonts w:eastAsia="仿宋"/>
          <w:sz w:val="24"/>
          <w:szCs w:val="24"/>
        </w:rPr>
      </w:pPr>
      <w:r>
        <w:rPr>
          <w:rFonts w:eastAsia="仿宋"/>
          <w:sz w:val="24"/>
          <w:szCs w:val="24"/>
        </w:rPr>
        <w:t>GB/T 16568 《奶牛场卫生规范》</w:t>
      </w:r>
    </w:p>
    <w:p>
      <w:pPr>
        <w:keepNext w:val="0"/>
        <w:keepLines w:val="0"/>
        <w:pageBreakBefore w:val="0"/>
        <w:widowControl/>
        <w:kinsoku/>
        <w:wordWrap/>
        <w:overflowPunct/>
        <w:topLinePunct w:val="0"/>
        <w:bidi w:val="0"/>
        <w:adjustRightInd/>
        <w:snapToGrid/>
        <w:spacing w:before="156" w:beforeLines="50" w:line="360" w:lineRule="auto"/>
        <w:ind w:firstLine="480" w:firstLineChars="200"/>
        <w:textAlignment w:val="auto"/>
        <w:rPr>
          <w:rFonts w:eastAsia="仿宋"/>
          <w:sz w:val="24"/>
          <w:szCs w:val="24"/>
        </w:rPr>
      </w:pPr>
      <w:r>
        <w:rPr>
          <w:rFonts w:eastAsia="仿宋"/>
          <w:sz w:val="24"/>
          <w:szCs w:val="24"/>
        </w:rPr>
        <w:t>NY/T 34 《奶牛饲养标准》</w:t>
      </w:r>
    </w:p>
    <w:p>
      <w:pPr>
        <w:keepNext w:val="0"/>
        <w:keepLines w:val="0"/>
        <w:pageBreakBefore w:val="0"/>
        <w:widowControl/>
        <w:kinsoku/>
        <w:wordWrap/>
        <w:overflowPunct/>
        <w:topLinePunct w:val="0"/>
        <w:bidi w:val="0"/>
        <w:adjustRightInd/>
        <w:snapToGrid/>
        <w:spacing w:before="156" w:beforeLines="50" w:line="360" w:lineRule="auto"/>
        <w:ind w:firstLine="480" w:firstLineChars="200"/>
        <w:textAlignment w:val="auto"/>
        <w:rPr>
          <w:rFonts w:eastAsia="仿宋"/>
          <w:sz w:val="24"/>
          <w:szCs w:val="24"/>
        </w:rPr>
      </w:pPr>
      <w:r>
        <w:rPr>
          <w:rFonts w:eastAsia="仿宋"/>
          <w:sz w:val="24"/>
          <w:szCs w:val="24"/>
        </w:rPr>
        <w:t>NY/T 800 《生鲜牛乳中体细胞测定方法》</w:t>
      </w:r>
    </w:p>
    <w:p>
      <w:pPr>
        <w:keepNext w:val="0"/>
        <w:keepLines w:val="0"/>
        <w:pageBreakBefore w:val="0"/>
        <w:widowControl/>
        <w:kinsoku/>
        <w:wordWrap/>
        <w:overflowPunct/>
        <w:topLinePunct w:val="0"/>
        <w:bidi w:val="0"/>
        <w:adjustRightInd/>
        <w:snapToGrid/>
        <w:spacing w:before="156" w:beforeLines="50" w:line="360" w:lineRule="auto"/>
        <w:ind w:firstLine="480" w:firstLineChars="200"/>
        <w:textAlignment w:val="auto"/>
        <w:rPr>
          <w:rFonts w:eastAsiaTheme="minorEastAsia"/>
          <w:sz w:val="24"/>
          <w:szCs w:val="24"/>
        </w:rPr>
      </w:pPr>
      <w:r>
        <w:rPr>
          <w:rFonts w:eastAsia="仿宋"/>
          <w:sz w:val="24"/>
          <w:szCs w:val="24"/>
        </w:rPr>
        <w:t>NY/T 2363 《奶牛热应激评价技术规范》</w:t>
      </w:r>
    </w:p>
    <w:bookmarkEnd w:id="3"/>
    <w:p>
      <w:pPr>
        <w:spacing w:before="156" w:beforeLines="50" w:after="156" w:afterLines="50" w:line="360" w:lineRule="auto"/>
        <w:rPr>
          <w:rFonts w:ascii="仿宋" w:hAnsi="仿宋" w:eastAsia="仿宋" w:cs="仿宋"/>
          <w:b/>
          <w:bCs/>
          <w:color w:val="000000"/>
          <w:sz w:val="24"/>
          <w:szCs w:val="21"/>
        </w:rPr>
      </w:pPr>
      <w:r>
        <w:rPr>
          <w:rFonts w:hint="eastAsia" w:ascii="仿宋" w:hAnsi="仿宋" w:eastAsia="仿宋" w:cs="仿宋"/>
          <w:b/>
          <w:bCs/>
          <w:color w:val="000000"/>
          <w:sz w:val="24"/>
          <w:szCs w:val="21"/>
        </w:rPr>
        <w:t>第三阶段：标准起草</w:t>
      </w:r>
    </w:p>
    <w:p>
      <w:pPr>
        <w:snapToGrid w:val="0"/>
        <w:spacing w:before="156" w:beforeLines="50" w:after="156" w:afterLines="50" w:line="360" w:lineRule="auto"/>
        <w:ind w:firstLine="480"/>
        <w:jc w:val="both"/>
        <w:rPr>
          <w:rFonts w:eastAsia="仿宋"/>
          <w:iCs/>
          <w:color w:val="000000"/>
          <w:sz w:val="24"/>
          <w:szCs w:val="24"/>
        </w:rPr>
      </w:pPr>
      <w:r>
        <w:rPr>
          <w:rFonts w:eastAsia="仿宋"/>
          <w:iCs/>
          <w:color w:val="000000"/>
          <w:sz w:val="24"/>
          <w:szCs w:val="24"/>
        </w:rPr>
        <w:t>在查阅文献材料和制标单位前期工作结果基础上，标准起草组</w:t>
      </w:r>
      <w:r>
        <w:rPr>
          <w:rFonts w:eastAsia="仿宋"/>
          <w:sz w:val="24"/>
          <w:szCs w:val="24"/>
        </w:rPr>
        <w:t>2019年-2021年期间，查阅国内外关于生牛乳体细胞的相关标准及方案，调研奶牛养殖企业和乳品加工业生牛乳中体细胞数，试验分析验证了体细胞数与奶品质的关系以及稳定和可重复性，按照GB/T 1.1《标准化工作导则 第1部分：标准化文件的结构和起草规则》，</w:t>
      </w:r>
      <w:r>
        <w:rPr>
          <w:rFonts w:eastAsia="仿宋"/>
          <w:iCs/>
          <w:color w:val="000000"/>
          <w:sz w:val="24"/>
          <w:szCs w:val="24"/>
        </w:rPr>
        <w:t>完成了标准文本定向征求意见稿与编制说明，并组织开展2次专家讨论会。</w:t>
      </w:r>
    </w:p>
    <w:p>
      <w:pPr>
        <w:snapToGrid w:val="0"/>
        <w:spacing w:before="156" w:beforeLines="50" w:after="156" w:afterLines="50" w:line="360" w:lineRule="auto"/>
        <w:ind w:firstLine="480"/>
        <w:jc w:val="both"/>
        <w:rPr>
          <w:rFonts w:eastAsia="仿宋"/>
          <w:sz w:val="24"/>
          <w:szCs w:val="24"/>
        </w:rPr>
      </w:pPr>
      <w:r>
        <w:rPr>
          <w:rFonts w:eastAsia="仿宋"/>
          <w:sz w:val="24"/>
          <w:szCs w:val="24"/>
        </w:rPr>
        <w:t>2019年12月15日，在中国农业科学院北京畜牧兽医研究所召开了第一次讨论会，标准起草组成员均参加了会议，并邀请了张宗城、顾佳升、周振峰、李琴、杨菊香、王典、王丽芳、陈贺等17位专家，就标准内容进行了讨论，并提出删除“泌乳早期奶牛补饲”及“挤奶厅环境应保持安静，挤奶人员不得辱骂、暴力驱赶奶牛”等修改意见。</w:t>
      </w:r>
    </w:p>
    <w:p>
      <w:pPr>
        <w:spacing w:before="156" w:beforeLines="50" w:after="156" w:afterLines="50" w:line="360" w:lineRule="auto"/>
        <w:ind w:firstLine="480" w:firstLineChars="200"/>
        <w:rPr>
          <w:rFonts w:eastAsia="仿宋"/>
          <w:sz w:val="24"/>
          <w:szCs w:val="24"/>
        </w:rPr>
      </w:pPr>
      <w:bookmarkStart w:id="4" w:name="_Hlk76668664"/>
      <w:r>
        <w:rPr>
          <w:rFonts w:eastAsia="仿宋"/>
          <w:sz w:val="24"/>
          <w:szCs w:val="24"/>
        </w:rPr>
        <w:t>2020年10月17日，中国农业科学院北京畜牧兽医研究所奶业创新团队组织召开了行业标准的视频研讨会。</w:t>
      </w:r>
      <w:bookmarkEnd w:id="4"/>
      <w:r>
        <w:rPr>
          <w:rFonts w:eastAsia="仿宋"/>
          <w:sz w:val="24"/>
          <w:szCs w:val="24"/>
        </w:rPr>
        <w:t>标准起草组从立项背景、标准文本、编制说明以及函审意见反馈情况等方面对《生乳中体细胞数的控制技术规范》进行了汇报。在听取了汇报后，专家组对标准制定工作给予了高度肯定。同时，对标准征求意见稿的文本和编制说明等材料进行了认真的讨论和逐字逐句的修改，并从行业发展、消费者信心、保护奶牛养殖利益等方面提出了十分重要的意见和建议。专家指出需要切实做到标准与监管配合到位，保障奶牛健康和乳制品质量安全，使标准真正可以做到促进奶业发展，振兴奶业市场，引领产业升级。</w:t>
      </w:r>
    </w:p>
    <w:p>
      <w:pPr>
        <w:pStyle w:val="25"/>
        <w:spacing w:before="156" w:beforeLines="50" w:after="156" w:afterLines="50" w:line="360" w:lineRule="auto"/>
        <w:ind w:firstLine="0" w:firstLineChars="0"/>
        <w:rPr>
          <w:rFonts w:ascii="仿宋" w:hAnsi="仿宋" w:eastAsia="仿宋" w:cs="仿宋"/>
          <w:b/>
          <w:bCs/>
          <w:color w:val="000000"/>
          <w:sz w:val="24"/>
          <w:szCs w:val="21"/>
        </w:rPr>
      </w:pPr>
      <w:r>
        <w:rPr>
          <w:rFonts w:hint="eastAsia" w:ascii="仿宋" w:hAnsi="仿宋" w:eastAsia="仿宋" w:cs="仿宋"/>
          <w:b/>
          <w:bCs/>
          <w:color w:val="000000"/>
          <w:sz w:val="24"/>
          <w:szCs w:val="21"/>
        </w:rPr>
        <w:t>第四阶段：定向征求意见，完成预审</w:t>
      </w:r>
    </w:p>
    <w:p>
      <w:pPr>
        <w:spacing w:before="156" w:beforeLines="50" w:after="156" w:afterLines="50" w:line="360" w:lineRule="auto"/>
        <w:ind w:firstLine="480" w:firstLineChars="200"/>
        <w:jc w:val="both"/>
        <w:rPr>
          <w:rFonts w:eastAsia="仿宋"/>
          <w:sz w:val="24"/>
          <w:szCs w:val="24"/>
        </w:rPr>
      </w:pPr>
      <w:r>
        <w:rPr>
          <w:rFonts w:eastAsia="仿宋"/>
          <w:sz w:val="24"/>
          <w:szCs w:val="24"/>
        </w:rPr>
        <w:t>标准起草组在完成标准初稿后，2020年10月和2021年6月面向全国征求22家奶业同行专家的意见</w:t>
      </w:r>
      <w:r>
        <w:rPr>
          <w:rFonts w:hint="eastAsia" w:eastAsia="仿宋"/>
          <w:sz w:val="24"/>
          <w:szCs w:val="24"/>
          <w:lang w:eastAsia="zh-CN"/>
        </w:rPr>
        <w:t>，</w:t>
      </w:r>
      <w:r>
        <w:rPr>
          <w:rFonts w:hint="eastAsia" w:eastAsia="仿宋"/>
          <w:sz w:val="24"/>
          <w:szCs w:val="24"/>
          <w:lang w:val="en-US" w:eastAsia="zh-CN"/>
        </w:rPr>
        <w:t>包括</w:t>
      </w:r>
      <w:r>
        <w:rPr>
          <w:rFonts w:eastAsia="仿宋"/>
          <w:sz w:val="24"/>
          <w:szCs w:val="24"/>
        </w:rPr>
        <w:t>企业7家</w:t>
      </w:r>
      <w:r>
        <w:rPr>
          <w:rFonts w:hint="eastAsia" w:eastAsia="仿宋"/>
          <w:sz w:val="24"/>
          <w:szCs w:val="24"/>
          <w:lang w:val="en-US" w:eastAsia="zh-CN"/>
        </w:rPr>
        <w:t>和</w:t>
      </w:r>
      <w:r>
        <w:rPr>
          <w:rFonts w:eastAsia="仿宋"/>
          <w:sz w:val="24"/>
          <w:szCs w:val="24"/>
        </w:rPr>
        <w:t>科研单位15家。经汇总，共收到意见64条</w:t>
      </w:r>
      <w:r>
        <w:rPr>
          <w:rFonts w:hint="eastAsia" w:eastAsia="仿宋"/>
          <w:sz w:val="24"/>
          <w:szCs w:val="24"/>
          <w:lang w:eastAsia="zh-CN"/>
        </w:rPr>
        <w:t>，</w:t>
      </w:r>
      <w:r>
        <w:rPr>
          <w:rFonts w:hint="eastAsia" w:eastAsia="仿宋"/>
          <w:sz w:val="24"/>
          <w:szCs w:val="24"/>
          <w:lang w:val="en-US" w:eastAsia="zh-CN"/>
        </w:rPr>
        <w:t>包括</w:t>
      </w:r>
      <w:r>
        <w:rPr>
          <w:rFonts w:eastAsia="仿宋"/>
          <w:sz w:val="24"/>
          <w:szCs w:val="24"/>
        </w:rPr>
        <w:t>企业23条</w:t>
      </w:r>
      <w:r>
        <w:rPr>
          <w:rFonts w:hint="eastAsia" w:eastAsia="仿宋"/>
          <w:sz w:val="24"/>
          <w:szCs w:val="24"/>
          <w:lang w:val="en-US" w:eastAsia="zh-CN"/>
        </w:rPr>
        <w:t>和</w:t>
      </w:r>
      <w:r>
        <w:rPr>
          <w:rFonts w:eastAsia="仿宋"/>
          <w:sz w:val="24"/>
          <w:szCs w:val="24"/>
        </w:rPr>
        <w:t xml:space="preserve">科研单位41条，其中采纳55条，部分采纳6条，不采纳3条。   </w:t>
      </w:r>
    </w:p>
    <w:p>
      <w:pPr>
        <w:spacing w:before="156" w:beforeLines="50" w:after="156" w:afterLines="50" w:line="360" w:lineRule="auto"/>
        <w:ind w:firstLine="480" w:firstLineChars="200"/>
        <w:jc w:val="both"/>
        <w:rPr>
          <w:rFonts w:eastAsia="仿宋"/>
          <w:sz w:val="24"/>
          <w:szCs w:val="24"/>
        </w:rPr>
      </w:pPr>
      <w:r>
        <w:rPr>
          <w:rFonts w:eastAsia="仿宋"/>
          <w:sz w:val="24"/>
          <w:szCs w:val="24"/>
        </w:rPr>
        <w:t> 2020年10月，第一次定向征求意见，发送征求意见稿33份，回函 20份，回函并有建议或意见的 14份，无建议的6份，其中9条意见来自2家企业和41条来自15家科研单位；意见共计50条，其中采纳41条，不采纳3条。</w:t>
      </w:r>
    </w:p>
    <w:p>
      <w:pPr>
        <w:spacing w:before="156" w:beforeLines="50" w:after="156" w:afterLines="50" w:line="360" w:lineRule="auto"/>
        <w:ind w:firstLine="480" w:firstLineChars="200"/>
        <w:jc w:val="both"/>
        <w:rPr>
          <w:rFonts w:eastAsia="仿宋"/>
          <w:sz w:val="24"/>
          <w:szCs w:val="24"/>
        </w:rPr>
      </w:pPr>
      <w:r>
        <w:rPr>
          <w:rFonts w:eastAsia="仿宋"/>
          <w:sz w:val="24"/>
          <w:szCs w:val="24"/>
        </w:rPr>
        <w:t xml:space="preserve">2021年1月14日，中国农业科学院北京畜牧兽医研究所组织了标准制定、管理、养殖、微生物、重金属等领域的有关专家召开农业行业标准讨论会。农业农村部农产品质量安全中心万靓军研究员、农业农村部乳品质量监督检验测试中心高级工程师张宗城、中国标准化研究院姚晓静研究员、中国农业大学动物科技学院李胜利教授、杨红建教授、中国农业科学院上海兽医研究所陈兆国研究员、北京市畜牧总站奶牛产业技术体系郭江鹏研究员、中国农业科学院农业质量标准与检测技术研究所毛雪飞副研究员、内蒙古优然牧业技术总监王典等12位专家参加了线上讨论会。标准起草组汇报了预审标准及编制说明。专家组在听取汇报的基础上，对标准的格式和技术内容进行了逐条、认真细致的审查和充分讨论，提出将前言“本标准的发布机构…”修改为“本文件的发布机构”，“本文件适用于奶牛养殖牧场（户）”修改为“本文件适用于奶牛养殖牧场生牛乳中体细胞数的控制”等修改意见。   </w:t>
      </w:r>
    </w:p>
    <w:p>
      <w:pPr>
        <w:spacing w:before="156" w:beforeLines="50" w:after="156" w:afterLines="50" w:line="360" w:lineRule="auto"/>
        <w:jc w:val="both"/>
        <w:rPr>
          <w:rFonts w:eastAsia="仿宋"/>
          <w:sz w:val="24"/>
          <w:szCs w:val="24"/>
        </w:rPr>
      </w:pPr>
      <w:r>
        <w:rPr>
          <w:rFonts w:eastAsia="仿宋"/>
          <w:sz w:val="24"/>
          <w:szCs w:val="24"/>
        </w:rPr>
        <w:t xml:space="preserve">    2021年1月24日，标准起草组召开了行业标准的视频研讨会，并邀请制定组成员外专家与会。就标准文本中内容确定的依据进行了再次讨论，完善了标准文本确定的依据，再次形成了标准定向征求意见稿。</w:t>
      </w:r>
    </w:p>
    <w:p>
      <w:pPr>
        <w:spacing w:before="156" w:beforeLines="50" w:after="156" w:afterLines="50" w:line="360" w:lineRule="auto"/>
        <w:ind w:firstLine="480" w:firstLineChars="200"/>
        <w:jc w:val="both"/>
        <w:rPr>
          <w:rFonts w:eastAsia="仿宋"/>
          <w:sz w:val="24"/>
          <w:szCs w:val="24"/>
        </w:rPr>
      </w:pPr>
      <w:r>
        <w:rPr>
          <w:rFonts w:eastAsia="仿宋"/>
          <w:sz w:val="24"/>
          <w:szCs w:val="24"/>
        </w:rPr>
        <w:t>2021年6月28日，向企业第二次定向征求意见，发送征求意见稿5份，回函 5份；意见共计14条，其中采纳14条，不采纳0条。</w:t>
      </w:r>
    </w:p>
    <w:p>
      <w:pPr>
        <w:spacing w:before="156" w:beforeLines="50" w:after="156" w:afterLines="50" w:line="360" w:lineRule="auto"/>
        <w:ind w:firstLine="480" w:firstLineChars="200"/>
        <w:jc w:val="both"/>
        <w:rPr>
          <w:rFonts w:eastAsia="仿宋"/>
          <w:sz w:val="24"/>
          <w:szCs w:val="24"/>
          <w:highlight w:val="yellow"/>
        </w:rPr>
      </w:pPr>
      <w:r>
        <w:rPr>
          <w:rFonts w:eastAsia="仿宋"/>
          <w:sz w:val="24"/>
          <w:szCs w:val="24"/>
        </w:rPr>
        <w:t>2021年8月3日，中国农业科学院北京畜牧兽医研究所组织召开了标准预审会，专家组由李建国、张书义、杨红建、张学炜、窦玮、王鹤佳、云战友、王静等九位专家组成。在听取标准起草组汇报的基础上，专家组认真审查了农业行业标准《生乳中体细胞数的控制技术规范》（预审稿）的标准文本及编制说明。主要提出如下意见：一是将标准名称修改为“生牛乳中体细胞数控制技术规范”；二是修改文件适用范围和术语定义表述；三是精炼文件中关键环节和关键控制点措施，修改附录格式，提高附录中图片质量；四是按GB/T 1.1—2020《标准化工作导则 第1部分：标准化文件的结构和起草规则》的要求进一步规范标准文本。专家组一致认为，该标准制定的技术内容达到任务书的要求，同意通过预审，并建议标准起草组按专家意见修改后提交标委会公开征求意见。预审会专家意见汇总表附后。</w:t>
      </w:r>
    </w:p>
    <w:p>
      <w:pPr>
        <w:pStyle w:val="57"/>
        <w:spacing w:before="156" w:beforeLines="50" w:after="156" w:afterLines="50" w:line="360" w:lineRule="auto"/>
        <w:rPr>
          <w:rFonts w:hint="default"/>
          <w:color w:val="000000"/>
        </w:rPr>
      </w:pPr>
      <w:r>
        <w:rPr>
          <w:color w:val="000000"/>
        </w:rPr>
        <w:t>三、 标准编制原则和主要技术内容确定的依据</w:t>
      </w:r>
    </w:p>
    <w:p>
      <w:pPr>
        <w:pStyle w:val="58"/>
        <w:spacing w:before="156" w:beforeLines="50" w:after="156" w:afterLines="50" w:line="360" w:lineRule="auto"/>
        <w:ind w:firstLine="280" w:firstLineChars="100"/>
        <w:rPr>
          <w:color w:val="000000"/>
        </w:rPr>
      </w:pPr>
      <w:r>
        <w:rPr>
          <w:rFonts w:hint="eastAsia"/>
          <w:color w:val="000000"/>
        </w:rPr>
        <w:t>（一）标准制定过程遵循的基本原则</w:t>
      </w:r>
    </w:p>
    <w:p>
      <w:pPr>
        <w:spacing w:before="156" w:beforeLines="50" w:after="156" w:afterLines="50" w:line="360" w:lineRule="auto"/>
        <w:ind w:firstLine="480" w:firstLineChars="200"/>
        <w:rPr>
          <w:rFonts w:eastAsia="仿宋"/>
          <w:sz w:val="24"/>
          <w:szCs w:val="24"/>
        </w:rPr>
      </w:pPr>
      <w:r>
        <w:rPr>
          <w:rFonts w:eastAsia="仿宋"/>
          <w:sz w:val="24"/>
          <w:szCs w:val="24"/>
        </w:rPr>
        <w:t>本标准按照GB/T 1.1—2020《标准化工作导则 第1部分：标准化文件的结构和起草规则》的规定起草，同时遵循以下原则：</w:t>
      </w:r>
    </w:p>
    <w:p>
      <w:pPr>
        <w:spacing w:before="156" w:beforeLines="50" w:after="156" w:afterLines="50" w:line="360" w:lineRule="auto"/>
        <w:ind w:firstLine="480" w:firstLineChars="200"/>
        <w:rPr>
          <w:rFonts w:eastAsia="仿宋"/>
          <w:sz w:val="24"/>
          <w:szCs w:val="24"/>
        </w:rPr>
      </w:pPr>
      <w:r>
        <w:rPr>
          <w:rFonts w:eastAsia="仿宋"/>
          <w:sz w:val="24"/>
          <w:szCs w:val="24"/>
        </w:rPr>
        <w:t>（1）政策性：制定本标准直接关系到国家和广大人民群众的利益。因此，在制定过程中严格贯彻国家有关方针、政策、法规和规章。</w:t>
      </w:r>
    </w:p>
    <w:p>
      <w:pPr>
        <w:spacing w:before="156" w:beforeLines="50" w:after="156" w:afterLines="50" w:line="360" w:lineRule="auto"/>
        <w:ind w:firstLine="480" w:firstLineChars="200"/>
        <w:rPr>
          <w:rFonts w:eastAsia="仿宋"/>
          <w:sz w:val="24"/>
          <w:szCs w:val="24"/>
        </w:rPr>
      </w:pPr>
      <w:r>
        <w:rPr>
          <w:rFonts w:eastAsia="仿宋"/>
          <w:sz w:val="24"/>
          <w:szCs w:val="24"/>
        </w:rPr>
        <w:t>（2）先进性：对本标准中有关内容的确定，力求反映本研究领域的国内外先进技术和经验，使标准中所规定的技术内容有利于体细胞数的控制。</w:t>
      </w:r>
    </w:p>
    <w:p>
      <w:pPr>
        <w:spacing w:before="156" w:beforeLines="50" w:after="156" w:afterLines="50" w:line="360" w:lineRule="auto"/>
        <w:ind w:firstLine="480" w:firstLineChars="200"/>
        <w:rPr>
          <w:rFonts w:eastAsia="仿宋"/>
          <w:sz w:val="24"/>
          <w:szCs w:val="24"/>
        </w:rPr>
      </w:pPr>
      <w:r>
        <w:rPr>
          <w:rFonts w:eastAsia="仿宋"/>
          <w:sz w:val="24"/>
          <w:szCs w:val="24"/>
        </w:rPr>
        <w:t>（3）规范性：在本标准征求意见稿的编制过程中力求做到技术内容的叙述正确无误，文字表达准确和简明易懂，标准的构成严谨合理；内容编排、层次划分等符合逻辑。</w:t>
      </w:r>
    </w:p>
    <w:p>
      <w:pPr>
        <w:spacing w:before="156" w:beforeLines="50" w:after="156" w:afterLines="50" w:line="360" w:lineRule="auto"/>
        <w:ind w:firstLine="480" w:firstLineChars="200"/>
        <w:rPr>
          <w:rFonts w:eastAsia="仿宋"/>
          <w:sz w:val="24"/>
          <w:szCs w:val="24"/>
        </w:rPr>
      </w:pPr>
      <w:r>
        <w:rPr>
          <w:rFonts w:eastAsia="仿宋"/>
          <w:sz w:val="24"/>
          <w:szCs w:val="24"/>
        </w:rPr>
        <w:t>（4）可操作性：可操作性是制定标准的必备因素，因此，在制定标准的过程中，始终把经济实用和可操作性作为重要的依据，以便在执行中容易操作。</w:t>
      </w:r>
    </w:p>
    <w:p>
      <w:pPr>
        <w:pStyle w:val="58"/>
        <w:keepNext/>
        <w:keepLines/>
        <w:spacing w:before="156" w:beforeLines="50" w:after="156" w:afterLines="50" w:line="360" w:lineRule="auto"/>
        <w:ind w:firstLine="280" w:firstLineChars="100"/>
        <w:rPr>
          <w:color w:val="000000"/>
        </w:rPr>
      </w:pPr>
      <w:r>
        <w:rPr>
          <w:rFonts w:hint="eastAsia"/>
          <w:color w:val="000000"/>
        </w:rPr>
        <w:t>（二）主要内容确定的依据</w:t>
      </w:r>
    </w:p>
    <w:p>
      <w:pPr>
        <w:pBdr>
          <w:top w:val="none" w:color="auto" w:sz="0" w:space="1"/>
          <w:bottom w:val="none" w:color="auto" w:sz="0" w:space="1"/>
          <w:right w:val="none" w:color="auto" w:sz="0" w:space="4"/>
        </w:pBdr>
        <w:spacing w:before="157" w:after="157" w:line="360" w:lineRule="auto"/>
        <w:ind w:firstLine="482" w:firstLineChars="200"/>
        <w:rPr>
          <w:rFonts w:ascii="黑体" w:hAnsi="黑体" w:eastAsia="黑体" w:cs="黑体"/>
          <w:b/>
          <w:bCs/>
          <w:color w:val="000000"/>
          <w:kern w:val="2"/>
          <w:sz w:val="24"/>
          <w:szCs w:val="24"/>
        </w:rPr>
      </w:pPr>
      <w:r>
        <w:rPr>
          <w:rFonts w:hint="eastAsia" w:ascii="黑体" w:hAnsi="黑体" w:eastAsia="黑体" w:cs="黑体"/>
          <w:b/>
          <w:bCs/>
          <w:color w:val="000000"/>
          <w:sz w:val="24"/>
          <w:szCs w:val="24"/>
        </w:rPr>
        <w:t xml:space="preserve">1. </w:t>
      </w:r>
      <w:r>
        <w:rPr>
          <w:rFonts w:hint="eastAsia" w:ascii="黑体" w:hAnsi="黑体" w:eastAsia="黑体" w:cs="黑体"/>
          <w:b/>
          <w:bCs/>
          <w:color w:val="000000"/>
          <w:kern w:val="2"/>
          <w:sz w:val="24"/>
          <w:szCs w:val="24"/>
        </w:rPr>
        <w:t>标准内容3.1</w:t>
      </w:r>
    </w:p>
    <w:p>
      <w:pPr>
        <w:spacing w:before="156" w:beforeLines="50" w:after="156" w:afterLines="50" w:line="360" w:lineRule="auto"/>
        <w:ind w:firstLine="480" w:firstLineChars="200"/>
        <w:outlineLvl w:val="3"/>
        <w:rPr>
          <w:rFonts w:ascii="黑体" w:hAnsi="黑体" w:eastAsia="黑体"/>
          <w:sz w:val="24"/>
          <w:szCs w:val="24"/>
        </w:rPr>
      </w:pPr>
      <w:r>
        <w:rPr>
          <w:rFonts w:ascii="黑体" w:hAnsi="黑体" w:eastAsia="黑体"/>
          <w:sz w:val="24"/>
          <w:szCs w:val="24"/>
        </w:rPr>
        <w:t>体细胞数 somatic cell count</w:t>
      </w:r>
    </w:p>
    <w:p>
      <w:pPr>
        <w:spacing w:before="156" w:beforeLines="50" w:after="156" w:afterLines="50" w:line="360" w:lineRule="auto"/>
        <w:ind w:firstLine="480" w:firstLineChars="200"/>
        <w:rPr>
          <w:rFonts w:ascii="黑体" w:hAnsi="黑体" w:eastAsia="黑体"/>
          <w:sz w:val="24"/>
          <w:szCs w:val="24"/>
        </w:rPr>
      </w:pPr>
      <w:r>
        <w:rPr>
          <w:rFonts w:hint="eastAsia" w:ascii="黑体" w:hAnsi="黑体" w:eastAsia="黑体" w:cs="黑体"/>
          <w:sz w:val="24"/>
          <w:szCs w:val="24"/>
        </w:rPr>
        <w:t>每毫升生牛乳中巨噬细胞、淋巴细胞、嗜中性粒细胞及乳腺上皮细胞等细胞数的总和。</w:t>
      </w:r>
    </w:p>
    <w:p>
      <w:pPr>
        <w:spacing w:before="156" w:beforeLines="50" w:after="156" w:afterLines="50" w:line="360" w:lineRule="auto"/>
        <w:ind w:firstLine="482"/>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jc w:val="both"/>
        <w:rPr>
          <w:rFonts w:eastAsia="仿宋"/>
          <w:sz w:val="24"/>
          <w:szCs w:val="24"/>
        </w:rPr>
      </w:pPr>
      <w:r>
        <w:rPr>
          <w:rFonts w:eastAsia="仿宋"/>
          <w:sz w:val="24"/>
          <w:szCs w:val="24"/>
        </w:rPr>
        <w:t>美国国家乳腺炎委员会正常和异常生乳指导条例指出，临床健康奶牛乳中体细胞主要是白血球和少量脱落的乳腺上皮细胞组成，其中白血球来源于血液，主要包括巨噬细胞、淋巴细胞和嗜中性粒细胞。Barrett研究指出，乳中白血球的和乳腺上皮细胞的占比分别是75%～85%和15%～25%。巨噬细胞主要涉及免疫识别，淋巴细胞主要是免疫记忆，是健康奶牛乳中主要的细胞类型，嗜中性粒细胞主要是免疫防御应答，在健康奶牛乳中仅占较少的比率，Halasa等（2020）分析表明乳腺受到病原微生物侵入时，免疫防御应答的嗜中性粒细胞的数量急剧增加。</w:t>
      </w:r>
    </w:p>
    <w:p>
      <w:pPr>
        <w:spacing w:before="156" w:beforeLines="50" w:after="156" w:afterLines="50" w:line="360" w:lineRule="auto"/>
        <w:ind w:firstLine="480" w:firstLineChars="200"/>
        <w:jc w:val="both"/>
        <w:rPr>
          <w:rFonts w:eastAsia="仿宋"/>
          <w:sz w:val="24"/>
          <w:szCs w:val="24"/>
        </w:rPr>
      </w:pPr>
      <w:r>
        <w:rPr>
          <w:rFonts w:eastAsia="仿宋"/>
          <w:sz w:val="24"/>
          <w:szCs w:val="24"/>
        </w:rPr>
        <w:t>乳中体细胞数是衡量奶牛乳房健康状况和评价奶品质的一个重要指标。影响乳中体细胞数的因素非常复杂，乳腺受到病原微生物感染等诱发的乳腺炎症是最为主要的因素。目前，奶牛乳腺炎特别是亚临床型乳腺炎都是通过奶中体细胞数或嗜中性白细胞数来推断，也就是说奶牛发生乳腺炎就会造成乳中体细胞数增加。乳腺炎是病原微生物通过乳头侵入奶牛的乳腺组织发生的炎症反应，也是影响奶业健康发展最为严重的疾病之一。实际上乳腺炎不是由单一病因引发的疾病，也没有简单的解决方案。从病原微生物感染奶牛乳腺建立的过程来看乳腺炎是病原、奶牛和环境之间相互作用的结果，基于此，影响奶牛乳腺健康的因素一般可分为：日粮营养、奶牛饲养管理、挤奶管理和环境因素等。</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标准内容4.1饲料营养</w:t>
      </w:r>
    </w:p>
    <w:p>
      <w:pPr>
        <w:spacing w:before="156" w:beforeLines="50" w:after="156" w:afterLines="50" w:line="360" w:lineRule="auto"/>
        <w:ind w:firstLine="480" w:firstLineChars="200"/>
        <w:rPr>
          <w:rFonts w:ascii="黑体" w:hAnsi="黑体" w:eastAsia="黑体"/>
          <w:sz w:val="24"/>
          <w:szCs w:val="24"/>
        </w:rPr>
      </w:pPr>
      <w:r>
        <w:rPr>
          <w:rFonts w:ascii="黑体" w:hAnsi="黑体" w:eastAsia="黑体"/>
          <w:sz w:val="24"/>
          <w:szCs w:val="24"/>
        </w:rPr>
        <w:t>奶牛饲料卫生应符合GB 13078的规定；日粮营养应符合NY/T 34的规定，其中干奶期和泌乳期奶牛每头牛总维生素E摄入量宜不低于 1000 IU/d，全混合日粮中总硒元素以干物质计含 0.35 mg/kg～0.40 mg/kg。</w:t>
      </w:r>
    </w:p>
    <w:p>
      <w:pPr>
        <w:spacing w:before="156" w:beforeLines="50" w:after="156" w:afterLines="50" w:line="360" w:lineRule="auto"/>
        <w:ind w:firstLine="482"/>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jc w:val="both"/>
        <w:rPr>
          <w:rFonts w:eastAsia="仿宋"/>
          <w:sz w:val="24"/>
          <w:szCs w:val="24"/>
        </w:rPr>
      </w:pPr>
      <w:r>
        <w:rPr>
          <w:rFonts w:eastAsia="仿宋"/>
          <w:sz w:val="24"/>
          <w:szCs w:val="24"/>
        </w:rPr>
        <w:t>有研究发现，奶牛产前第30d饲喂由玉米和苜蓿青贮为基础的日粮或53.5%青贮和46.5%高水分玉米组成的饲粮，其乳房水肿和乳腺炎的发病率显著高于仅饲喂干草的奶牛。van Hoeij 等 （2017，2018）研究表明产后奶牛饲喂低能日粮有利于乳房健康。维生素E和硒是组织和细胞抗氧化能力的必须成分，维生素E是一种脂溶性维生素，主要生物学功能是抗氧化作用，能够抑制和减缓机体内多不饱和脂肪酸的氧化，并中和氧化过程中形成的自由基，保护细胞及细胞器脂质膜结构的完整性和稳定性。硒的主要生物功能是抗氧化性，硒在谷胱甘肽过氧化物酶的催化作用中具有关键作用，是该酶系中起氧化还原催化作用的唯一原子，能够抑制膜磷脂过氧化而发挥保护生物膜的作用。维生素E和硒在抗氧化中具有协同作用，含硒的谷胱甘肽过氧化物酶能够分解已形成的过氧化物，阻止膜脂质过氧化的氢基自由基和单线态氧的生成；而维生素E阻止膜脂质过氧化链式反应，减少了过氧化物的形成，防止敏感的膜脂质受到氧化的损伤。维生素E和硒还能够增强中性粒细胞趋化性、吞噬活性，并促进其在血液与乳腺组织内的迁移，而在奶牛乳腺细胞免疫机制中中性粒细胞活性是防御病原微生物侵入的关键。</w:t>
      </w:r>
    </w:p>
    <w:p>
      <w:pPr>
        <w:spacing w:before="156" w:beforeLines="50" w:after="156" w:afterLines="50" w:line="360" w:lineRule="auto"/>
        <w:ind w:firstLine="480" w:firstLineChars="200"/>
        <w:jc w:val="both"/>
        <w:rPr>
          <w:rFonts w:eastAsia="仿宋"/>
          <w:sz w:val="24"/>
          <w:szCs w:val="24"/>
        </w:rPr>
      </w:pPr>
      <w:r>
        <w:rPr>
          <w:rFonts w:eastAsia="仿宋"/>
          <w:sz w:val="24"/>
          <w:szCs w:val="24"/>
        </w:rPr>
        <w:t>Smith等首次报道了硒和维生素 E对临床型奶牛乳腺炎的影响，发现添加维生素E能够显著降低临床型奶牛的发病率37%，而加单独硒不能降低临床型乳腺炎的发病率。但随后的研究表明硒缺乏与牛奶中高体细胞数和泌乳早期奶牛临床型乳腺炎发生率有直接的关系。在泌乳中期奶牛（14周～16周）日粮添加亚硒酸钠 0.05 mg/kg～0.35 mg/kg干物质基础，然后经乳头试验注入大肠杆菌诱导乳腺炎，结果发现对照组奶牛呈现较为严重的乳腺炎症状，而日粮补饲组奶牛没有临床型乳腺炎发生。当奶牛摄入的硒超过16 mg/d 时，奶牛临床型乳腺炎的发病率增加，表明奶牛摄入硒浓度超过临界阈值时对机体有损伤作用。奶牛采食日粮含硒2.5 mg/d，尿中硒的平均损失为0.5 mg/d。由此，美国国家科学研究委员会（NRC）推荐日粮补饲硒水平为0.3 mg/kg干物质基础，日粮总含硒量的范围是0.35 mg/kg～0.4 mg/kg干物质基础；德国营养生理学会推荐范围是0.15 mg/kg～0.2 mg/kg干物质基础。若考虑硒在防控奶牛乳腺炎的作用，全血中硒浓度应比0.18 μg/mL高或血浆中硒达到约0.08 μg/mL，这就需要奶牛摄入硒约6 mg/d才能维持血液中的硒浓度。但是奶牛采食日粮含硒5 mg/kg～40 mg/kg会发生慢性中毒现象，而采食日粮含硒10 mg/kg～20 mg/kg会发生急性中毒现象。</w:t>
      </w:r>
    </w:p>
    <w:p>
      <w:pPr>
        <w:spacing w:before="156" w:beforeLines="50" w:after="156" w:afterLines="50" w:line="360" w:lineRule="auto"/>
        <w:ind w:firstLine="480" w:firstLineChars="200"/>
        <w:jc w:val="both"/>
        <w:rPr>
          <w:rFonts w:eastAsia="仿宋"/>
          <w:sz w:val="24"/>
          <w:szCs w:val="24"/>
        </w:rPr>
      </w:pPr>
      <w:r>
        <w:rPr>
          <w:rFonts w:eastAsia="仿宋"/>
          <w:sz w:val="24"/>
          <w:szCs w:val="24"/>
        </w:rPr>
        <w:t>维生素E有保持多不饱和脂肪酸、酶以及蛋白质不受自由基损伤的作用。Mueller等研究发现，奶牛产前6周补饲维生素E 1000 IU/d，产后1周内乳房水肿发病程度低于不添加维生素E组奶牛。Hogan等研究表明预产期第60d起奶牛日粮补充维生素E 1000 IU/d、泌乳期补充500 IU/d，奶牛乳腺感染和临床乳腺炎发病率及持续时间可明显降低。Weiss等发现在干奶期最后两周补饲维生素E 4000 IU/d，产后临床乳腺炎的发病率降低80%，乳腺感染发病率降低60%。也有研究表明围产期奶牛日粮维生素E的补饲不能降低乳腺炎的发病率。但进一步的研究表明，干奶期维生素E的摄入量可显著提高初乳中维生素E的含量，围产期乳牛血浆中的α-生育酚含量为3 μg/mL以上时，能够改善奶牛的健康和免疫功能。NRC推荐妊娠后期和泌乳期奶牛总维生素E量约为2.6 IU/kg BW。</w:t>
      </w:r>
    </w:p>
    <w:p>
      <w:pPr>
        <w:spacing w:before="156" w:beforeLines="50" w:after="156" w:afterLines="50" w:line="360" w:lineRule="auto"/>
        <w:ind w:firstLine="480" w:firstLineChars="200"/>
        <w:jc w:val="both"/>
        <w:rPr>
          <w:rFonts w:eastAsia="仿宋"/>
          <w:sz w:val="24"/>
          <w:szCs w:val="24"/>
        </w:rPr>
      </w:pPr>
      <w:r>
        <w:rPr>
          <w:rFonts w:eastAsia="仿宋"/>
          <w:sz w:val="24"/>
          <w:szCs w:val="24"/>
        </w:rPr>
        <w:t>有研究表明，近乎所有奶牛在产后最初几天都会出现血钙浓度降低（钙浓度小于5 mg/dL），产后奶牛低血钙易诱发酮病、胎衣不下和乳腺炎等疾病。但奶牛产前饲粮钙的最佳浓度尚未确定，有研究表明，产前奶牛日粮钙高于150 g/d，并同时添加阴离子盐，能够有效防止产后低血钙的发生。若日粮钙水平太高会造成采食量减少，生产性能下降。</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标准内容4.2.1干奶期奶牛</w:t>
      </w:r>
    </w:p>
    <w:p>
      <w:pPr>
        <w:pStyle w:val="33"/>
        <w:spacing w:before="156" w:beforeLines="50" w:after="156" w:afterLines="50" w:line="360" w:lineRule="auto"/>
        <w:ind w:firstLine="560"/>
        <w:rPr>
          <w:rFonts w:ascii="黑体" w:hAnsi="黑体" w:eastAsia="黑体" w:cs="Times New Roman"/>
          <w:sz w:val="24"/>
          <w:szCs w:val="24"/>
        </w:rPr>
      </w:pPr>
      <w:r>
        <w:rPr>
          <w:rFonts w:ascii="黑体" w:hAnsi="黑体" w:eastAsia="黑体" w:cs="Times New Roman"/>
          <w:sz w:val="24"/>
          <w:szCs w:val="24"/>
        </w:rPr>
        <w:t>奶牛预产期前约60 d应逐渐停止挤奶，停奶当天最后一次挤净牛乳后，每个乳区应灌注兽用抗菌药物或抗菌药物替代品以防控病原微生物感染。</w:t>
      </w:r>
    </w:p>
    <w:p>
      <w:pPr>
        <w:pStyle w:val="33"/>
        <w:spacing w:before="156" w:beforeLines="50" w:after="156" w:afterLines="50" w:line="360" w:lineRule="auto"/>
        <w:ind w:firstLine="562"/>
        <w:rPr>
          <w:rFonts w:ascii="仿宋" w:hAnsi="仿宋" w:eastAsia="仿宋" w:cs="仿宋"/>
          <w:b/>
          <w:bCs/>
          <w:iCs/>
          <w:color w:val="000000"/>
          <w:sz w:val="24"/>
          <w:szCs w:val="20"/>
        </w:rPr>
      </w:pPr>
      <w:r>
        <w:rPr>
          <w:rFonts w:hint="eastAsia" w:ascii="仿宋" w:hAnsi="仿宋" w:eastAsia="仿宋" w:cs="仿宋"/>
          <w:b/>
          <w:bCs/>
          <w:iCs/>
          <w:color w:val="000000"/>
          <w:sz w:val="24"/>
          <w:szCs w:val="20"/>
        </w:rPr>
        <w:t>理由及依据：</w:t>
      </w:r>
    </w:p>
    <w:p>
      <w:pPr>
        <w:pStyle w:val="33"/>
        <w:spacing w:before="156" w:beforeLines="50" w:after="156" w:afterLines="50" w:line="360" w:lineRule="auto"/>
        <w:ind w:firstLine="560"/>
        <w:rPr>
          <w:rFonts w:ascii="Times New Roman" w:hAnsi="Times New Roman" w:eastAsia="仿宋" w:cs="Times New Roman"/>
          <w:sz w:val="24"/>
          <w:szCs w:val="24"/>
        </w:rPr>
      </w:pPr>
      <w:r>
        <w:rPr>
          <w:rFonts w:ascii="Times New Roman" w:hAnsi="Times New Roman" w:eastAsia="仿宋" w:cs="Times New Roman"/>
          <w:sz w:val="24"/>
          <w:szCs w:val="24"/>
        </w:rPr>
        <w:t>诸多研究表明干奶期是防治奶牛乳腺炎最为有效的时期，能够有效的预防和控制产后临床型乳腺炎的发生，乳房内注入长效抗菌药物封闭是干奶期的预防病原微生物感染的主要措施，既能消灭已侵入的病原菌还能够预防病原菌的侵入。</w:t>
      </w:r>
    </w:p>
    <w:p>
      <w:pPr>
        <w:spacing w:before="156" w:beforeLines="50" w:after="156" w:afterLines="50" w:line="360" w:lineRule="auto"/>
        <w:ind w:firstLine="480" w:firstLineChars="200"/>
        <w:rPr>
          <w:rFonts w:eastAsia="仿宋"/>
          <w:sz w:val="28"/>
          <w:szCs w:val="28"/>
        </w:rPr>
      </w:pPr>
      <w:r>
        <w:rPr>
          <w:rFonts w:eastAsia="仿宋"/>
          <w:sz w:val="24"/>
          <w:szCs w:val="24"/>
        </w:rPr>
        <w:t>在泌乳前两个月随着泌乳期的延长，体细胞数下降，之后随着泌乳期的延长，体细胞数逐渐增加。相似的，奶牛乳腺炎的敏感性随整个泌乳周期而变化，在乳腺从非泌乳期到泌乳期逐渐转变时，乳房中乳汁开始积累、乳房内环境发生变化，利于病原微生物的感染，产后奶牛乳腺炎的发病率高，并随泌乳期的延长逐渐下降，至泌乳后期，乳腺从泌乳期到干奶期逐渐转变，乳腺炎的发病率又明显增加</w:t>
      </w:r>
      <w:r>
        <w:rPr>
          <w:rFonts w:hint="eastAsia" w:eastAsia="仿宋"/>
          <w:sz w:val="24"/>
          <w:szCs w:val="24"/>
        </w:rPr>
        <w:t>(见</w:t>
      </w:r>
      <w:r>
        <w:rPr>
          <w:rFonts w:eastAsia="仿宋"/>
          <w:sz w:val="24"/>
          <w:szCs w:val="24"/>
        </w:rPr>
        <w:t>下图)。有研究表明干奶期奶牛乳腺炎的发病率是泌乳期的2倍甚至更高，且产后发生临床型乳腺炎奶牛大部分是由干奶期感染造成。这是由于奶牛进入干奶期后，挤奶虽然停止，但乳腺短期内仍然会少量泌乳导致乳房内压增大，而乳铁蛋白、白细胞和免疫球蛋白等抗菌活性物质的含量下降，同时，乳头管扩张，且乳头管中的角蛋白栓还没有完全形成，乳头孔完全闭未能完成，此外，乳头每日药浴的取消，造成病原微生物侵入乳头、进入乳腺组织的机会增加，诱发乳腺炎症。因此，此阶段是乳腺极易感染阶段。</w:t>
      </w:r>
    </w:p>
    <w:p>
      <w:pPr>
        <w:spacing w:before="156" w:beforeLines="50" w:after="156" w:afterLines="50" w:line="360" w:lineRule="auto"/>
        <w:jc w:val="center"/>
        <w:rPr>
          <w:rFonts w:eastAsiaTheme="minorEastAsia"/>
          <w:sz w:val="21"/>
          <w:szCs w:val="21"/>
        </w:rPr>
      </w:pPr>
      <w:r>
        <w:rPr>
          <w:rFonts w:eastAsiaTheme="minorEastAsia"/>
          <w:sz w:val="21"/>
          <w:szCs w:val="21"/>
        </w:rPr>
        <w:drawing>
          <wp:inline distT="0" distB="0" distL="0" distR="0">
            <wp:extent cx="3420745" cy="2219960"/>
            <wp:effectExtent l="0" t="0" r="825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t="6474" b="2381"/>
                    <a:stretch>
                      <a:fillRect/>
                    </a:stretch>
                  </pic:blipFill>
                  <pic:spPr>
                    <a:xfrm>
                      <a:off x="0" y="0"/>
                      <a:ext cx="3420745" cy="2219960"/>
                    </a:xfrm>
                    <a:prstGeom prst="rect">
                      <a:avLst/>
                    </a:prstGeom>
                    <a:noFill/>
                    <a:ln>
                      <a:noFill/>
                    </a:ln>
                  </pic:spPr>
                </pic:pic>
              </a:graphicData>
            </a:graphic>
          </wp:inline>
        </w:drawing>
      </w:r>
    </w:p>
    <w:p>
      <w:pPr>
        <w:spacing w:before="156" w:beforeLines="50" w:after="156" w:afterLines="50" w:line="360" w:lineRule="auto"/>
        <w:jc w:val="center"/>
        <w:rPr>
          <w:rFonts w:eastAsiaTheme="minorEastAsia"/>
          <w:sz w:val="21"/>
          <w:szCs w:val="21"/>
        </w:rPr>
      </w:pPr>
      <w:r>
        <w:rPr>
          <w:rFonts w:eastAsiaTheme="minorEastAsia"/>
          <w:sz w:val="21"/>
          <w:szCs w:val="21"/>
        </w:rPr>
        <w:t>奶牛泌乳期和胎次与奶中体细胞数密切相关（引自Alhussien et al., Vet World. 2018, 11(5): 562–577.）</w:t>
      </w:r>
    </w:p>
    <w:p>
      <w:pPr>
        <w:spacing w:before="156" w:beforeLines="50" w:after="156" w:afterLines="50" w:line="360" w:lineRule="auto"/>
        <w:ind w:firstLine="480" w:firstLineChars="200"/>
        <w:rPr>
          <w:rFonts w:eastAsia="仿宋"/>
          <w:sz w:val="24"/>
          <w:szCs w:val="24"/>
        </w:rPr>
      </w:pPr>
      <w:r>
        <w:rPr>
          <w:rFonts w:eastAsia="仿宋"/>
          <w:sz w:val="24"/>
          <w:szCs w:val="24"/>
        </w:rPr>
        <w:t>乳头管是奶牛乳腺抵御外界病原微生物的物理性防御屏障，被称为第一道防线。乳头管的管壁呈条纹状，乳头管中的上皮细胞会在乳头孔内部形成网状的硬质角蛋白，这些蛋白汇聚在乳头管末端用于封闭乳头孔，可用于防止病原微生物经乳头孔进入乳腺组织内部。角蛋白栓除物理性屏障防御作用外，其所含的高浓度脂肪酸等物质还具有抑制病原菌感染的作用。此外，美国国家乳腺炎协会提出 “所有母牛进行干奶治疗”、“乳腺炎奶牛有效治疗”和“淘汰反复发病牛”列入乳腺炎控制“五点计划”。基于此，乳房内注入长效抗菌药物封闭是干奶期预防病原微生物感染的主要措施，不仅可以达到消灭侵入的病原菌的作用，还能够预防病原菌的侵入和降低干奶期奶牛的新发感染。</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标准内容4.2.2产后奶牛</w:t>
      </w:r>
    </w:p>
    <w:p>
      <w:pPr>
        <w:pStyle w:val="33"/>
        <w:spacing w:before="156" w:beforeLines="50" w:after="156" w:afterLines="50" w:line="360" w:lineRule="auto"/>
        <w:ind w:firstLine="560"/>
        <w:rPr>
          <w:rFonts w:ascii="黑体" w:hAnsi="黑体" w:eastAsia="黑体" w:cs="黑体"/>
          <w:sz w:val="24"/>
          <w:szCs w:val="24"/>
        </w:rPr>
      </w:pPr>
      <w:r>
        <w:rPr>
          <w:rFonts w:hint="eastAsia" w:ascii="黑体" w:hAnsi="黑体" w:eastAsia="黑体" w:cs="黑体"/>
          <w:sz w:val="24"/>
          <w:szCs w:val="24"/>
        </w:rPr>
        <w:t>母牛产犊后，对精神状况、采食或体温异常的牛应根据实际情况选择性用药。</w:t>
      </w:r>
    </w:p>
    <w:p>
      <w:pPr>
        <w:pStyle w:val="33"/>
        <w:spacing w:before="156" w:beforeLines="50" w:after="156" w:afterLines="50" w:line="360" w:lineRule="auto"/>
        <w:ind w:firstLine="562"/>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rPr>
          <w:rFonts w:eastAsia="仿宋"/>
          <w:sz w:val="24"/>
          <w:szCs w:val="24"/>
        </w:rPr>
      </w:pPr>
      <w:r>
        <w:rPr>
          <w:rFonts w:eastAsia="仿宋"/>
          <w:sz w:val="24"/>
          <w:szCs w:val="24"/>
        </w:rPr>
        <w:t>Drackley等研究表明围产期奶牛经历了乳腺停止泌乳、分娩和再次生乳变化以及日粮营养结构改变等一系列生理和代谢变化，造成机体免疫功能受到抑制，乳头管和乳腺组织抵抗外界病原感染的能力也随之下降，也是各种疾病侵入的最佳时机，包括产后瘫痪、酮病、子宫内膜炎和乳腺炎等。嗜中性粒细胞是由骨髓产生并释放到血液循环系统中的第一线非特异性防御细胞，在全身免疫系统以及对感染应答过程中扮演着重要的角色。Kehrli等对围产期外周血嗜中性粒细胞功能的研究发现，分娩前两周，嗜中性粒细胞迁移能力迅速增加，产后一周急剧下降。产后嗜中性粒细胞数量的减少削弱了奶牛机体免疫防御能力或者是能量负平衡削弱了外周血中嗜中性粒细胞的吞噬能力，由此导致奶牛免疫功能下降。做好奶牛产后保健工作非常重要，执业兽医师观察产后奶牛的精神状况和采食情况以及测定体温，特别是对产后孱弱奶牛注射兽用抗菌药物替代品或抗菌药物以防控病原微生物感染，并饲喂易消化的日粮，恢复采食量，不仅可以使奶牛抵抗力增加，减少乳腺炎症等疾病的发生，还能保证奶牛后期正常生产性能的发挥。</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标准内容4.2.3乳腺炎奶牛</w:t>
      </w:r>
    </w:p>
    <w:p>
      <w:pPr>
        <w:pStyle w:val="33"/>
        <w:spacing w:line="360" w:lineRule="auto"/>
        <w:ind w:left="120" w:leftChars="50" w:firstLine="560"/>
        <w:rPr>
          <w:rFonts w:ascii="黑体" w:hAnsi="黑体" w:eastAsia="黑体" w:cs="黑体"/>
          <w:sz w:val="24"/>
          <w:szCs w:val="24"/>
        </w:rPr>
      </w:pPr>
      <w:r>
        <w:rPr>
          <w:rFonts w:hint="eastAsia" w:ascii="黑体" w:hAnsi="黑体" w:eastAsia="黑体" w:cs="黑体"/>
          <w:sz w:val="24"/>
          <w:szCs w:val="24"/>
        </w:rPr>
        <w:t>泌乳期奶牛应每月进行一次乳中体细胞数测定或乳腺炎诊断盘诊断（见附录A）。当体细胞数异常时，所采取的预防和处理办法，包括但不限于以下措施：</w:t>
      </w:r>
    </w:p>
    <w:p>
      <w:pPr>
        <w:pStyle w:val="33"/>
        <w:spacing w:line="360" w:lineRule="auto"/>
        <w:ind w:left="120" w:leftChars="50" w:firstLine="560"/>
        <w:rPr>
          <w:rFonts w:ascii="黑体" w:hAnsi="黑体" w:eastAsia="黑体" w:cs="黑体"/>
          <w:sz w:val="24"/>
          <w:szCs w:val="24"/>
        </w:rPr>
      </w:pPr>
      <w:r>
        <w:rPr>
          <w:rFonts w:hint="eastAsia" w:ascii="黑体" w:hAnsi="黑体" w:eastAsia="黑体" w:cs="黑体"/>
          <w:sz w:val="24"/>
          <w:szCs w:val="24"/>
        </w:rPr>
        <w:t>——宜在奶牛日粮中添加胡萝卜素等进行营养调控；</w:t>
      </w:r>
    </w:p>
    <w:p>
      <w:pPr>
        <w:pStyle w:val="33"/>
        <w:spacing w:line="360" w:lineRule="auto"/>
        <w:ind w:left="120" w:leftChars="50" w:firstLine="560"/>
        <w:rPr>
          <w:rFonts w:ascii="黑体" w:hAnsi="黑体" w:eastAsia="黑体" w:cs="黑体"/>
          <w:sz w:val="24"/>
          <w:szCs w:val="24"/>
        </w:rPr>
      </w:pPr>
      <w:r>
        <w:rPr>
          <w:rFonts w:hint="eastAsia" w:ascii="黑体" w:hAnsi="黑体" w:eastAsia="黑体" w:cs="黑体"/>
          <w:sz w:val="24"/>
          <w:szCs w:val="24"/>
        </w:rPr>
        <w:t>——乳汁异常或乳腺红肿等症状的临床型乳腺炎奶牛应隔离用兽用抗菌药物替代品或抗菌药物治疗；</w:t>
      </w:r>
    </w:p>
    <w:p>
      <w:pPr>
        <w:spacing w:before="156" w:beforeLines="50" w:after="156" w:afterLines="50" w:line="360" w:lineRule="auto"/>
        <w:ind w:firstLine="480" w:firstLineChars="200"/>
        <w:rPr>
          <w:rFonts w:eastAsiaTheme="minorEastAsia"/>
          <w:sz w:val="24"/>
          <w:szCs w:val="24"/>
        </w:rPr>
      </w:pPr>
      <w:r>
        <w:rPr>
          <w:rFonts w:hint="eastAsia" w:ascii="黑体" w:hAnsi="黑体" w:eastAsia="黑体" w:cs="黑体"/>
          <w:sz w:val="24"/>
          <w:szCs w:val="24"/>
        </w:rPr>
        <w:t>——宜淘汰久治不愈或反复发病的乳腺炎奶牛。</w:t>
      </w:r>
    </w:p>
    <w:p>
      <w:pPr>
        <w:pStyle w:val="33"/>
        <w:spacing w:before="156" w:beforeLines="50" w:after="156" w:afterLines="50" w:line="360" w:lineRule="auto"/>
        <w:ind w:firstLine="562"/>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jc w:val="both"/>
        <w:rPr>
          <w:rFonts w:eastAsia="仿宋"/>
          <w:sz w:val="24"/>
          <w:szCs w:val="24"/>
        </w:rPr>
      </w:pPr>
      <w:r>
        <w:rPr>
          <w:rFonts w:eastAsia="仿宋"/>
          <w:sz w:val="24"/>
          <w:szCs w:val="24"/>
        </w:rPr>
        <w:t>国际奶业联合会（2013）、美国国家乳腺炎委员会和 Gonçalves等（2018）推荐奶牛乳中体细胞数大于200000 scc/mL，奶牛乳房将疑似受到细菌感染（隐性乳腺炎），随奶中体细胞数逐渐增加，奶牛产奶量损失也越多。同时，体细胞数还与牛奶品质相关，随着体细胞数增加奶中乳糖、酪蛋白、乳脂肪等含量相应的下降，而氯离子、酪蛋白水解产物和乳清蛋白特别是急性期蛋白以及丙二醛含量增加，牛奶的综合营养价值降低。</w:t>
      </w:r>
    </w:p>
    <w:p>
      <w:pPr>
        <w:spacing w:before="156" w:beforeLines="50" w:after="156" w:afterLines="50" w:line="360" w:lineRule="auto"/>
        <w:ind w:firstLine="840" w:firstLineChars="400"/>
        <w:jc w:val="center"/>
        <w:rPr>
          <w:rFonts w:eastAsiaTheme="minorEastAsia"/>
          <w:sz w:val="21"/>
          <w:szCs w:val="21"/>
        </w:rPr>
      </w:pPr>
      <w:r>
        <w:rPr>
          <w:rFonts w:eastAsiaTheme="minorEastAsia"/>
          <w:sz w:val="21"/>
          <w:szCs w:val="21"/>
        </w:rPr>
        <w:drawing>
          <wp:anchor distT="0" distB="0" distL="0" distR="0" simplePos="0" relativeHeight="251659264" behindDoc="0" locked="0" layoutInCell="1" allowOverlap="1">
            <wp:simplePos x="0" y="0"/>
            <wp:positionH relativeFrom="column">
              <wp:posOffset>-58420</wp:posOffset>
            </wp:positionH>
            <wp:positionV relativeFrom="paragraph">
              <wp:posOffset>461010</wp:posOffset>
            </wp:positionV>
            <wp:extent cx="5274310" cy="2341245"/>
            <wp:effectExtent l="0" t="0" r="2540" b="1905"/>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4310" cy="2341245"/>
                    </a:xfrm>
                    <a:prstGeom prst="rect">
                      <a:avLst/>
                    </a:prstGeom>
                    <a:noFill/>
                    <a:ln>
                      <a:noFill/>
                    </a:ln>
                  </pic:spPr>
                </pic:pic>
              </a:graphicData>
            </a:graphic>
          </wp:anchor>
        </w:drawing>
      </w:r>
      <w:r>
        <w:rPr>
          <w:rFonts w:eastAsiaTheme="minorEastAsia"/>
          <w:sz w:val="21"/>
          <w:szCs w:val="21"/>
        </w:rPr>
        <w:t xml:space="preserve"> 生牛乳中体细胞数与</w:t>
      </w:r>
      <w:r>
        <w:rPr>
          <w:rFonts w:hint="eastAsia" w:eastAsiaTheme="minorEastAsia"/>
          <w:sz w:val="21"/>
          <w:szCs w:val="21"/>
        </w:rPr>
        <w:t>乳损失</w:t>
      </w:r>
      <w:r>
        <w:rPr>
          <w:rFonts w:eastAsiaTheme="minorEastAsia"/>
          <w:sz w:val="21"/>
          <w:szCs w:val="21"/>
        </w:rPr>
        <w:t>的关系</w:t>
      </w:r>
      <w:r>
        <w:rPr>
          <w:rFonts w:hint="eastAsia" w:eastAsiaTheme="minorEastAsia"/>
          <w:sz w:val="21"/>
          <w:szCs w:val="21"/>
        </w:rPr>
        <w:t xml:space="preserve"> </w:t>
      </w:r>
    </w:p>
    <w:p>
      <w:pPr>
        <w:spacing w:before="156" w:beforeLines="50" w:after="156" w:afterLines="50" w:line="360" w:lineRule="auto"/>
        <w:jc w:val="right"/>
        <w:rPr>
          <w:rFonts w:eastAsiaTheme="minorEastAsia"/>
          <w:sz w:val="21"/>
          <w:szCs w:val="21"/>
        </w:rPr>
      </w:pPr>
      <w:r>
        <w:rPr>
          <w:rFonts w:hint="eastAsia" w:eastAsiaTheme="minorEastAsia"/>
          <w:sz w:val="21"/>
          <w:szCs w:val="21"/>
        </w:rPr>
        <w:t>——数据来源于</w:t>
      </w:r>
      <w:r>
        <w:rPr>
          <w:rFonts w:eastAsiaTheme="minorEastAsia"/>
          <w:sz w:val="21"/>
          <w:szCs w:val="21"/>
        </w:rPr>
        <w:t>C</w:t>
      </w:r>
      <w:r>
        <w:rPr>
          <w:rFonts w:hint="eastAsia" w:eastAsiaTheme="minorEastAsia"/>
          <w:sz w:val="21"/>
          <w:szCs w:val="21"/>
        </w:rPr>
        <w:t>hen等（20</w:t>
      </w:r>
      <w:r>
        <w:rPr>
          <w:rFonts w:eastAsiaTheme="minorEastAsia"/>
          <w:sz w:val="21"/>
          <w:szCs w:val="21"/>
        </w:rPr>
        <w:t>21</w:t>
      </w:r>
      <w:r>
        <w:rPr>
          <w:rFonts w:hint="eastAsia" w:eastAsiaTheme="minorEastAsia"/>
          <w:sz w:val="21"/>
          <w:szCs w:val="21"/>
        </w:rPr>
        <w:t>，</w:t>
      </w:r>
      <w:r>
        <w:rPr>
          <w:rFonts w:eastAsiaTheme="minorEastAsia"/>
          <w:sz w:val="21"/>
          <w:szCs w:val="21"/>
        </w:rPr>
        <w:t>J</w:t>
      </w:r>
      <w:r>
        <w:rPr>
          <w:rFonts w:hint="eastAsia" w:eastAsiaTheme="minorEastAsia"/>
          <w:sz w:val="21"/>
          <w:szCs w:val="21"/>
        </w:rPr>
        <w:t>ournal</w:t>
      </w:r>
      <w:r>
        <w:rPr>
          <w:rFonts w:eastAsiaTheme="minorEastAsia"/>
          <w:sz w:val="21"/>
          <w:szCs w:val="21"/>
        </w:rPr>
        <w:t xml:space="preserve"> of Dairy Science</w:t>
      </w:r>
      <w:r>
        <w:rPr>
          <w:rFonts w:hint="eastAsia" w:eastAsiaTheme="minorEastAsia"/>
          <w:sz w:val="21"/>
          <w:szCs w:val="21"/>
        </w:rPr>
        <w:t>）</w:t>
      </w:r>
    </w:p>
    <w:p>
      <w:pPr>
        <w:spacing w:before="156" w:beforeLines="50" w:after="156" w:afterLines="50" w:line="360" w:lineRule="auto"/>
        <w:ind w:firstLine="420" w:firstLineChars="200"/>
        <w:jc w:val="center"/>
        <w:rPr>
          <w:rFonts w:eastAsiaTheme="minorEastAsia"/>
          <w:sz w:val="21"/>
          <w:szCs w:val="21"/>
        </w:rPr>
      </w:pPr>
      <w:r>
        <w:rPr>
          <w:rFonts w:hint="eastAsia" w:eastAsiaTheme="minorEastAsia"/>
          <w:sz w:val="21"/>
          <w:szCs w:val="21"/>
        </w:rPr>
        <w:t>生牛乳中体细胞数与奶品质的关系</w:t>
      </w:r>
    </w:p>
    <w:tbl>
      <w:tblPr>
        <w:tblStyle w:val="18"/>
        <w:tblW w:w="7966" w:type="dxa"/>
        <w:tblInd w:w="303" w:type="dxa"/>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autofit"/>
        <w:tblCellMar>
          <w:top w:w="0" w:type="dxa"/>
          <w:left w:w="0" w:type="dxa"/>
          <w:bottom w:w="0" w:type="dxa"/>
          <w:right w:w="0" w:type="dxa"/>
        </w:tblCellMar>
      </w:tblPr>
      <w:tblGrid>
        <w:gridCol w:w="1959"/>
        <w:gridCol w:w="1457"/>
        <w:gridCol w:w="1417"/>
        <w:gridCol w:w="1600"/>
        <w:gridCol w:w="1533"/>
      </w:tblGrid>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CellMar>
            <w:top w:w="0" w:type="dxa"/>
            <w:left w:w="0" w:type="dxa"/>
            <w:bottom w:w="0" w:type="dxa"/>
            <w:right w:w="0" w:type="dxa"/>
          </w:tblCellMar>
        </w:tblPrEx>
        <w:trPr>
          <w:trHeight w:val="489" w:hRule="atLeast"/>
        </w:trPr>
        <w:tc>
          <w:tcPr>
            <w:tcW w:w="1959" w:type="dxa"/>
            <w:vMerge w:val="restart"/>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乳成分</w:t>
            </w:r>
          </w:p>
          <w:p>
            <w:pPr>
              <w:widowControl w:val="0"/>
              <w:jc w:val="center"/>
              <w:rPr>
                <w:rFonts w:eastAsiaTheme="majorEastAsia"/>
                <w:kern w:val="2"/>
                <w:sz w:val="21"/>
                <w:szCs w:val="21"/>
              </w:rPr>
            </w:pPr>
            <w:r>
              <w:rPr>
                <w:rFonts w:eastAsiaTheme="majorEastAsia"/>
                <w:kern w:val="2"/>
                <w:sz w:val="21"/>
                <w:szCs w:val="21"/>
              </w:rPr>
              <w:t>(g/100 ml)</w:t>
            </w:r>
          </w:p>
        </w:tc>
        <w:tc>
          <w:tcPr>
            <w:tcW w:w="6007" w:type="dxa"/>
            <w:gridSpan w:val="4"/>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 xml:space="preserve">体细胞数 </w:t>
            </w:r>
          </w:p>
          <w:p>
            <w:pPr>
              <w:widowControl w:val="0"/>
              <w:jc w:val="center"/>
              <w:rPr>
                <w:rFonts w:eastAsiaTheme="majorEastAsia"/>
                <w:kern w:val="2"/>
                <w:sz w:val="21"/>
                <w:szCs w:val="21"/>
              </w:rPr>
            </w:pPr>
            <w:r>
              <w:rPr>
                <w:rFonts w:eastAsiaTheme="majorEastAsia"/>
                <w:kern w:val="2"/>
                <w:sz w:val="21"/>
                <w:szCs w:val="21"/>
              </w:rPr>
              <w:t>(×10</w:t>
            </w:r>
            <w:r>
              <w:rPr>
                <w:rFonts w:eastAsiaTheme="majorEastAsia"/>
                <w:kern w:val="2"/>
                <w:sz w:val="21"/>
                <w:szCs w:val="21"/>
                <w:vertAlign w:val="superscript"/>
              </w:rPr>
              <w:t>3</w:t>
            </w:r>
            <w:r>
              <w:rPr>
                <w:rFonts w:eastAsiaTheme="majorEastAsia"/>
                <w:kern w:val="2"/>
                <w:sz w:val="21"/>
                <w:szCs w:val="21"/>
              </w:rPr>
              <w:t xml:space="preserve"> cells/mL)</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CellMar>
            <w:top w:w="0" w:type="dxa"/>
            <w:left w:w="0" w:type="dxa"/>
            <w:bottom w:w="0" w:type="dxa"/>
            <w:right w:w="0" w:type="dxa"/>
          </w:tblCellMar>
        </w:tblPrEx>
        <w:trPr>
          <w:trHeight w:val="435" w:hRule="atLeast"/>
        </w:trPr>
        <w:tc>
          <w:tcPr>
            <w:tcW w:w="1959" w:type="dxa"/>
            <w:vMerge w:val="continue"/>
            <w:tcBorders>
              <w:bottom w:val="single" w:color="000000" w:sz="8" w:space="0"/>
            </w:tcBorders>
            <w:vAlign w:val="center"/>
          </w:tcPr>
          <w:p>
            <w:pPr>
              <w:widowControl w:val="0"/>
              <w:jc w:val="center"/>
              <w:rPr>
                <w:rFonts w:eastAsiaTheme="majorEastAsia"/>
                <w:kern w:val="2"/>
                <w:sz w:val="21"/>
                <w:szCs w:val="21"/>
              </w:rPr>
            </w:pPr>
          </w:p>
        </w:tc>
        <w:tc>
          <w:tcPr>
            <w:tcW w:w="1457" w:type="dxa"/>
            <w:tcBorders>
              <w:bottom w:val="single" w:color="000000" w:sz="8" w:space="0"/>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&lt;100</w:t>
            </w:r>
          </w:p>
        </w:tc>
        <w:tc>
          <w:tcPr>
            <w:tcW w:w="1417" w:type="dxa"/>
            <w:tcBorders>
              <w:bottom w:val="single" w:color="000000" w:sz="8" w:space="0"/>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&lt;250</w:t>
            </w:r>
          </w:p>
        </w:tc>
        <w:tc>
          <w:tcPr>
            <w:tcW w:w="1600" w:type="dxa"/>
            <w:tcBorders>
              <w:bottom w:val="single" w:color="000000" w:sz="8" w:space="0"/>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500-1000</w:t>
            </w:r>
          </w:p>
        </w:tc>
        <w:tc>
          <w:tcPr>
            <w:tcW w:w="1533" w:type="dxa"/>
            <w:tcBorders>
              <w:bottom w:val="single" w:color="000000" w:sz="8" w:space="0"/>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&gt;1000</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CellMar>
            <w:top w:w="0" w:type="dxa"/>
            <w:left w:w="0" w:type="dxa"/>
            <w:bottom w:w="0" w:type="dxa"/>
            <w:right w:w="0" w:type="dxa"/>
          </w:tblCellMar>
        </w:tblPrEx>
        <w:trPr>
          <w:trHeight w:val="435" w:hRule="atLeast"/>
        </w:trPr>
        <w:tc>
          <w:tcPr>
            <w:tcW w:w="1959" w:type="dxa"/>
            <w:tcBorders>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乳糖</w:t>
            </w:r>
          </w:p>
        </w:tc>
        <w:tc>
          <w:tcPr>
            <w:tcW w:w="1457" w:type="dxa"/>
            <w:tcBorders>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4.9</w:t>
            </w:r>
          </w:p>
        </w:tc>
        <w:tc>
          <w:tcPr>
            <w:tcW w:w="1417" w:type="dxa"/>
            <w:tcBorders>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4.74</w:t>
            </w:r>
          </w:p>
        </w:tc>
        <w:tc>
          <w:tcPr>
            <w:tcW w:w="1600" w:type="dxa"/>
            <w:tcBorders>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4.6</w:t>
            </w:r>
          </w:p>
        </w:tc>
        <w:tc>
          <w:tcPr>
            <w:tcW w:w="1533" w:type="dxa"/>
            <w:tcBorders>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4.21</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CellMar>
            <w:top w:w="0" w:type="dxa"/>
            <w:left w:w="0" w:type="dxa"/>
            <w:bottom w:w="0" w:type="dxa"/>
            <w:right w:w="0" w:type="dxa"/>
          </w:tblCellMar>
        </w:tblPrEx>
        <w:trPr>
          <w:trHeight w:val="435" w:hRule="atLeast"/>
        </w:trPr>
        <w:tc>
          <w:tcPr>
            <w:tcW w:w="1959"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酪蛋白</w:t>
            </w:r>
          </w:p>
        </w:tc>
        <w:tc>
          <w:tcPr>
            <w:tcW w:w="1457"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2.81</w:t>
            </w:r>
          </w:p>
        </w:tc>
        <w:tc>
          <w:tcPr>
            <w:tcW w:w="1417"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2.79</w:t>
            </w:r>
          </w:p>
        </w:tc>
        <w:tc>
          <w:tcPr>
            <w:tcW w:w="1600"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2.65</w:t>
            </w:r>
          </w:p>
        </w:tc>
        <w:tc>
          <w:tcPr>
            <w:tcW w:w="1533"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2.25</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CellMar>
            <w:top w:w="0" w:type="dxa"/>
            <w:left w:w="0" w:type="dxa"/>
            <w:bottom w:w="0" w:type="dxa"/>
            <w:right w:w="0" w:type="dxa"/>
          </w:tblCellMar>
        </w:tblPrEx>
        <w:trPr>
          <w:trHeight w:val="435" w:hRule="atLeast"/>
        </w:trPr>
        <w:tc>
          <w:tcPr>
            <w:tcW w:w="1959"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乳脂肪</w:t>
            </w:r>
          </w:p>
        </w:tc>
        <w:tc>
          <w:tcPr>
            <w:tcW w:w="1457"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3.74</w:t>
            </w:r>
          </w:p>
        </w:tc>
        <w:tc>
          <w:tcPr>
            <w:tcW w:w="1417"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3.69</w:t>
            </w:r>
          </w:p>
        </w:tc>
        <w:tc>
          <w:tcPr>
            <w:tcW w:w="1600"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3.51</w:t>
            </w:r>
          </w:p>
        </w:tc>
        <w:tc>
          <w:tcPr>
            <w:tcW w:w="1533"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3.13</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CellMar>
            <w:top w:w="0" w:type="dxa"/>
            <w:left w:w="0" w:type="dxa"/>
            <w:bottom w:w="0" w:type="dxa"/>
            <w:right w:w="0" w:type="dxa"/>
          </w:tblCellMar>
        </w:tblPrEx>
        <w:trPr>
          <w:trHeight w:val="435" w:hRule="atLeast"/>
        </w:trPr>
        <w:tc>
          <w:tcPr>
            <w:tcW w:w="1959"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乳清蛋白</w:t>
            </w:r>
          </w:p>
        </w:tc>
        <w:tc>
          <w:tcPr>
            <w:tcW w:w="1457"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0.81</w:t>
            </w:r>
          </w:p>
        </w:tc>
        <w:tc>
          <w:tcPr>
            <w:tcW w:w="1417"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0.82</w:t>
            </w:r>
          </w:p>
        </w:tc>
        <w:tc>
          <w:tcPr>
            <w:tcW w:w="1600"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1.1</w:t>
            </w:r>
          </w:p>
        </w:tc>
        <w:tc>
          <w:tcPr>
            <w:tcW w:w="1533"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1.31</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CellMar>
            <w:top w:w="0" w:type="dxa"/>
            <w:left w:w="0" w:type="dxa"/>
            <w:bottom w:w="0" w:type="dxa"/>
            <w:right w:w="0" w:type="dxa"/>
          </w:tblCellMar>
        </w:tblPrEx>
        <w:trPr>
          <w:trHeight w:val="435" w:hRule="atLeast"/>
        </w:trPr>
        <w:tc>
          <w:tcPr>
            <w:tcW w:w="1959"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血清白蛋白</w:t>
            </w:r>
          </w:p>
        </w:tc>
        <w:tc>
          <w:tcPr>
            <w:tcW w:w="1457"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0.02</w:t>
            </w:r>
          </w:p>
        </w:tc>
        <w:tc>
          <w:tcPr>
            <w:tcW w:w="1417"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0.15</w:t>
            </w:r>
          </w:p>
        </w:tc>
        <w:tc>
          <w:tcPr>
            <w:tcW w:w="1600"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0.23</w:t>
            </w:r>
          </w:p>
        </w:tc>
        <w:tc>
          <w:tcPr>
            <w:tcW w:w="1533" w:type="dxa"/>
            <w:tcBorders>
              <w:top w:val="nil"/>
              <w:bottom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0.35</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CellMar>
            <w:top w:w="0" w:type="dxa"/>
            <w:left w:w="0" w:type="dxa"/>
            <w:bottom w:w="0" w:type="dxa"/>
            <w:right w:w="0" w:type="dxa"/>
          </w:tblCellMar>
        </w:tblPrEx>
        <w:trPr>
          <w:trHeight w:val="435" w:hRule="atLeast"/>
        </w:trPr>
        <w:tc>
          <w:tcPr>
            <w:tcW w:w="1959" w:type="dxa"/>
            <w:tcBorders>
              <w:top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免疫球蛋白</w:t>
            </w:r>
          </w:p>
        </w:tc>
        <w:tc>
          <w:tcPr>
            <w:tcW w:w="1457" w:type="dxa"/>
            <w:tcBorders>
              <w:top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0.12</w:t>
            </w:r>
          </w:p>
        </w:tc>
        <w:tc>
          <w:tcPr>
            <w:tcW w:w="1417" w:type="dxa"/>
            <w:tcBorders>
              <w:top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0.14</w:t>
            </w:r>
          </w:p>
        </w:tc>
        <w:tc>
          <w:tcPr>
            <w:tcW w:w="1600" w:type="dxa"/>
            <w:tcBorders>
              <w:top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0.26</w:t>
            </w:r>
          </w:p>
        </w:tc>
        <w:tc>
          <w:tcPr>
            <w:tcW w:w="1533" w:type="dxa"/>
            <w:tcBorders>
              <w:top w:val="nil"/>
            </w:tcBorders>
            <w:shd w:val="clear" w:color="auto" w:fill="auto"/>
            <w:tcMar>
              <w:top w:w="15" w:type="dxa"/>
              <w:left w:w="108" w:type="dxa"/>
              <w:bottom w:w="0" w:type="dxa"/>
              <w:right w:w="108" w:type="dxa"/>
            </w:tcMar>
            <w:vAlign w:val="center"/>
          </w:tcPr>
          <w:p>
            <w:pPr>
              <w:widowControl w:val="0"/>
              <w:jc w:val="center"/>
              <w:rPr>
                <w:rFonts w:eastAsiaTheme="majorEastAsia"/>
                <w:kern w:val="2"/>
                <w:sz w:val="21"/>
                <w:szCs w:val="21"/>
              </w:rPr>
            </w:pPr>
            <w:r>
              <w:rPr>
                <w:rFonts w:eastAsiaTheme="majorEastAsia"/>
                <w:kern w:val="2"/>
                <w:sz w:val="21"/>
                <w:szCs w:val="21"/>
              </w:rPr>
              <w:t>0.51</w:t>
            </w:r>
          </w:p>
        </w:tc>
      </w:tr>
    </w:tbl>
    <w:p>
      <w:pPr>
        <w:spacing w:before="156" w:beforeLines="50" w:after="156" w:afterLines="50" w:line="360" w:lineRule="auto"/>
        <w:ind w:firstLine="480" w:firstLineChars="200"/>
        <w:jc w:val="both"/>
        <w:rPr>
          <w:rFonts w:eastAsia="仿宋"/>
          <w:sz w:val="24"/>
          <w:szCs w:val="24"/>
        </w:rPr>
      </w:pPr>
      <w:r>
        <w:rPr>
          <w:rFonts w:eastAsia="仿宋"/>
          <w:sz w:val="24"/>
          <w:szCs w:val="24"/>
        </w:rPr>
        <w:t>美国国家乳腺炎委员会指出，泌乳牛每月进行一次生产性能测定，其体细胞数指标可用于监测奶牛群体乳腺健康状况，为了有效控制乳腺内感染，第一胎次奶牛乳中体细胞数大于100,000 scc/mL或经产牛乳中体细胞数大于200000 scc/mL可进行细菌培养以达到有效治疗的目的(Ceballos</w:t>
      </w:r>
      <w:r>
        <w:rPr>
          <w:rFonts w:hint="eastAsia" w:ascii="宋体" w:hAnsi="宋体" w:cs="宋体"/>
          <w:sz w:val="24"/>
          <w:szCs w:val="24"/>
        </w:rPr>
        <w:t>‐</w:t>
      </w:r>
      <w:r>
        <w:rPr>
          <w:rFonts w:eastAsia="仿宋"/>
          <w:sz w:val="24"/>
          <w:szCs w:val="24"/>
        </w:rPr>
        <w:t>Marquez et al. 2013)。群体中有25%的奶牛体细胞数得分大于5应进行干奶期和产后奶牛乳腺炎防控措施检查，乳中病原微生物培养、淘汰久治不愈奶牛等。Hillerton建议感染3次以上的奶牛均要淘汰，这些反复患病和久治不愈的奶牛治疗回报的性价比非常低。奶牛胎次（年龄）的增加也会使泌乳早期和泌乳后期体细胞数升高，还需对临床型乳腺炎应采取针对性治疗，若奶牛久治不愈应及时淘汰。</w:t>
      </w:r>
    </w:p>
    <w:p>
      <w:pPr>
        <w:spacing w:before="156" w:beforeLines="50" w:after="156" w:afterLines="50" w:line="360" w:lineRule="auto"/>
        <w:ind w:firstLine="480" w:firstLineChars="200"/>
        <w:jc w:val="both"/>
        <w:rPr>
          <w:rFonts w:eastAsia="仿宋"/>
          <w:sz w:val="24"/>
          <w:szCs w:val="24"/>
        </w:rPr>
      </w:pPr>
      <w:r>
        <w:rPr>
          <w:rFonts w:eastAsia="仿宋"/>
          <w:sz w:val="24"/>
          <w:szCs w:val="24"/>
        </w:rPr>
        <w:t>有大量研究采用微生态制剂、含蒲公英、王不留行等的中草药组方添加剂等用于营养调控隐性或临床型乳腺炎奶牛机体健康，改善机体免疫力，降低奶牛乳腺炎乳中体细胞数（田猛，2020；赵小伟等，2020；武晓东，2021）。在奶牛日粮中添加微生态制剂，可在一定程度上改善乳品质，同时对降低乳中SCC、治疗和预防隐性乳腺炎有一定的作用（丁昕颖等，2016；寨鸿瑞和郭庆，2017）。此外，β-胡萝卜素是一种抗氧化剂，能够提高中性白细胞的吞噬能力。有研究表明，围产期奶牛补充维生素A 150000 IU/d～250000 IU/d或β-胡萝卜素300 mg/d～600 mg/d，能够降低乳腺感染和乳腺炎的发病率。在牛β-胡萝卜素的维生素A活性可定义为：1 mg β-胡萝卜素=400 IU的维生素A，考虑到其有潜在改善乳腺健康的可能性，NRC 推荐干奶期和泌乳期奶牛维生素A的需要量相同，为110 IU/kg BW。</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标准内容5.1 挤奶人员</w:t>
      </w:r>
    </w:p>
    <w:p>
      <w:pPr>
        <w:spacing w:before="156" w:beforeLines="50" w:after="156" w:afterLines="50" w:line="360" w:lineRule="auto"/>
        <w:ind w:firstLine="480" w:firstLineChars="200"/>
        <w:rPr>
          <w:rFonts w:ascii="黑体" w:hAnsi="黑体" w:eastAsia="黑体" w:cs="黑体"/>
          <w:sz w:val="24"/>
          <w:szCs w:val="24"/>
        </w:rPr>
      </w:pPr>
      <w:r>
        <w:rPr>
          <w:rFonts w:hint="eastAsia" w:ascii="黑体" w:hAnsi="黑体" w:eastAsia="黑体" w:cs="黑体"/>
          <w:sz w:val="24"/>
          <w:szCs w:val="24"/>
        </w:rPr>
        <w:t>挤奶人员每年应至少体检一次，应无布鲁氏杆菌病、结核病等人畜共患传染性疾病，健康状况良好，进入挤奶厅前戴手套、穿干净的工作服及胶鞋。</w:t>
      </w:r>
    </w:p>
    <w:p>
      <w:pPr>
        <w:spacing w:before="156" w:beforeLines="50" w:after="156" w:afterLines="50" w:line="360" w:lineRule="auto"/>
        <w:ind w:firstLine="482" w:firstLineChars="200"/>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rPr>
          <w:rFonts w:ascii="仿宋" w:hAnsi="仿宋" w:eastAsia="仿宋" w:cs="仿宋"/>
          <w:sz w:val="24"/>
          <w:szCs w:val="24"/>
        </w:rPr>
      </w:pPr>
      <w:r>
        <w:rPr>
          <w:rFonts w:hint="eastAsia" w:ascii="仿宋" w:hAnsi="仿宋" w:eastAsia="仿宋" w:cs="仿宋"/>
          <w:sz w:val="24"/>
          <w:szCs w:val="24"/>
        </w:rPr>
        <w:t>为了保障员工健康并具备良好的健康状态，挤奶人员每年应至少体检一次，且无布鲁氏杆菌病、腹泻、结核病等人畜共患传染性疾病，以杜绝在工作过程中出现人和畜间的疾病传染，在挤奶人员进入挤奶厅前做好专业的防护措施，应穿工作服并戴手套，防止了与牛直接接触，有利于保护自身健康。</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标准内容5.2 挤奶系统检查及维护</w:t>
      </w:r>
    </w:p>
    <w:p>
      <w:pPr>
        <w:pStyle w:val="33"/>
        <w:tabs>
          <w:tab w:val="center" w:pos="4201"/>
          <w:tab w:val="right" w:leader="dot" w:pos="9298"/>
        </w:tabs>
        <w:spacing w:before="156" w:beforeLines="50" w:after="156" w:afterLines="50" w:line="360" w:lineRule="auto"/>
        <w:ind w:firstLine="560"/>
        <w:rPr>
          <w:rFonts w:ascii="黑体" w:hAnsi="黑体" w:eastAsia="黑体" w:cs="黑体"/>
          <w:sz w:val="24"/>
          <w:szCs w:val="22"/>
        </w:rPr>
      </w:pPr>
      <w:r>
        <w:rPr>
          <w:rFonts w:hint="eastAsia" w:ascii="黑体" w:hAnsi="黑体" w:eastAsia="黑体" w:cs="黑体"/>
          <w:sz w:val="24"/>
          <w:szCs w:val="22"/>
        </w:rPr>
        <w:t>5.2.1 开机后检查奶杯、脉动管、奶管及挤奶系统气密性，脉动真空压位于</w:t>
      </w:r>
      <w:r>
        <w:rPr>
          <w:rFonts w:ascii="黑体" w:hAnsi="黑体" w:eastAsia="黑体" w:cs="Times New Roman"/>
          <w:sz w:val="24"/>
          <w:szCs w:val="22"/>
        </w:rPr>
        <w:t>40 kPa～50 kPa</w:t>
      </w:r>
      <w:r>
        <w:rPr>
          <w:rFonts w:hint="eastAsia" w:ascii="黑体" w:hAnsi="黑体" w:eastAsia="黑体" w:cs="黑体"/>
          <w:sz w:val="24"/>
          <w:szCs w:val="22"/>
        </w:rPr>
        <w:t>。</w:t>
      </w:r>
    </w:p>
    <w:p>
      <w:pPr>
        <w:pStyle w:val="33"/>
        <w:tabs>
          <w:tab w:val="center" w:pos="4201"/>
          <w:tab w:val="right" w:leader="dot" w:pos="9298"/>
        </w:tabs>
        <w:spacing w:before="156" w:beforeLines="50" w:after="156" w:afterLines="50" w:line="360" w:lineRule="auto"/>
        <w:ind w:firstLine="560"/>
        <w:rPr>
          <w:rFonts w:ascii="黑体" w:hAnsi="黑体" w:eastAsia="黑体" w:cs="Times New Roman"/>
          <w:sz w:val="24"/>
          <w:szCs w:val="22"/>
        </w:rPr>
      </w:pPr>
      <w:r>
        <w:rPr>
          <w:rFonts w:hint="eastAsia" w:ascii="黑体" w:hAnsi="黑体" w:eastAsia="黑体" w:cs="黑体"/>
          <w:sz w:val="24"/>
          <w:szCs w:val="22"/>
        </w:rPr>
        <w:t xml:space="preserve">5.2.2 </w:t>
      </w:r>
      <w:r>
        <w:rPr>
          <w:rFonts w:ascii="黑体" w:hAnsi="黑体" w:eastAsia="黑体" w:cs="Times New Roman"/>
          <w:sz w:val="24"/>
          <w:szCs w:val="22"/>
        </w:rPr>
        <w:t>每三个月或半年应检测一次脉动频率，挤奶脉动频率位于50 次/min～65 次/min，应定时更换奶衬。</w:t>
      </w:r>
    </w:p>
    <w:p>
      <w:pPr>
        <w:spacing w:before="156" w:beforeLines="50" w:after="156" w:afterLines="50" w:line="360" w:lineRule="auto"/>
        <w:ind w:firstLine="482" w:firstLineChars="200"/>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jc w:val="both"/>
        <w:rPr>
          <w:rFonts w:eastAsia="仿宋"/>
          <w:sz w:val="24"/>
          <w:szCs w:val="24"/>
        </w:rPr>
      </w:pPr>
      <w:r>
        <w:rPr>
          <w:rFonts w:eastAsia="仿宋"/>
          <w:sz w:val="24"/>
          <w:szCs w:val="24"/>
        </w:rPr>
        <w:t>挤奶设备参数设置与挤奶系统的维护也与奶牛乳腺炎发生相关。挤奶过程中，作用于奶牛乳头上的是奶衬内真空和唇腔真空，其随奶流变化而变化。挤奶开始阶段，奶流量很小，奶衬内真空度下降的幅度很小；在奶流峰值阶段，奶衬内真空度下降较大并保持在一定范围；在挤奶趋于结束阶段，奶流量变小，奶衬内真空度逐渐恢复到挤奶开始阶段的水平。而唇腔真空在挤奶开始阶段和奶流峰值阶段，乳头与奶衬的贴合度很好，唇腔真空在数值上接近于零。在挤奶趋于结束阶段，乳池内乳被挤净、乳头末端直径变小，乳头与奶衬贴合度下降，唇腔流出的气流量和气流速度增加，从而导致过渡挤奶阶段奶杯口真空度上升。乳头末端真空度为低值时，将会发生奶杯滑动甚至掉杯的现象，使牛奶、空气甚至细菌漏进奶杯，并进入集奶器在其反弹进入其它挤奶杯，若有细菌侵入到乳头往往会诱发乳腺炎。若乳头末端真空度为高值时，会造成乳头充血、水肿，还有可能造成乳头外翻。挤奶机的奶衬内真空和唇腔真空很大程度上取决于系统真空度，因此，挤奶机的真空度设置十分关键，挤奶真空压出厂设置值一般是在40 kPa至50 kPa。Langlois等研究发现，系统真空压在42.5 kPa或51 kPa下奶牛乳头评分高于34 kPa，Hamann等研究表明奶牛在系统真空度很高时挤奶，奶牛机体防御机制受损的时间可能更长，乳头末端壁厚增加，新感染亚临床或者临床型现房炎发病率增加。另有研究表明，系统真空度从44 kPa增加至48 kPa时，奶牛在峰值流量期间和过挤奶期间，内衬真空度增加率分别为4.9％和10.8％，挤奶杯口真空度增加率分别为373.8％和53.7％，挤奶量、挤奶时间及平均奶流量均没有显著差异，但log10SCC和乳头末端壁厚均显著增加。由此，挤奶系统真空度参数设置为不大于44 kPa挤奶特性保持较好，系统真空压较低可降低挤奶机对乳房健康和奶品质不利的影响。挤奶真空压设置不合理会造成过渡挤奶，过渡挤奶发生时，乳房内的奶己经基本挤出，但奶杯没有脱落、挤奶机还继续作用于乳头末端，真空持续抽吸和奶衬壁持续挤压。由此，过渡挤奶时间越长对乳房健康越不利，会造成乳腺受损乳腺新感染率增加。为此，美国国家乳腺炎协会将“挤奶设备维护”和“后药浴”列入乳腺炎控制“五点计划”。挤奶机脉动频率参数设置方面，普遍设置为60次/min，脉动比率普遍设置为60％。</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标准内容5.3挤奶程序-5.4 挤奶时异常情况处理</w:t>
      </w:r>
    </w:p>
    <w:p>
      <w:pPr>
        <w:spacing w:before="156" w:beforeLines="50" w:after="156" w:afterLines="50" w:line="360" w:lineRule="auto"/>
        <w:ind w:firstLine="480" w:firstLineChars="200"/>
        <w:rPr>
          <w:rFonts w:ascii="黑体" w:hAnsi="黑体" w:eastAsia="黑体" w:cs="黑体"/>
          <w:sz w:val="24"/>
          <w:szCs w:val="24"/>
        </w:rPr>
      </w:pPr>
      <w:r>
        <w:rPr>
          <w:rFonts w:hint="eastAsia" w:ascii="黑体" w:hAnsi="黑体" w:eastAsia="黑体" w:cs="黑体"/>
          <w:sz w:val="24"/>
          <w:szCs w:val="24"/>
        </w:rPr>
        <w:t>5.3 挤奶程序</w:t>
      </w:r>
    </w:p>
    <w:p>
      <w:pPr>
        <w:spacing w:before="156" w:beforeLines="50" w:after="156" w:afterLines="50" w:line="360" w:lineRule="auto"/>
        <w:ind w:firstLine="480" w:firstLineChars="200"/>
        <w:rPr>
          <w:rFonts w:ascii="黑体" w:hAnsi="黑体" w:eastAsia="黑体" w:cs="黑体"/>
          <w:sz w:val="24"/>
          <w:szCs w:val="24"/>
        </w:rPr>
      </w:pPr>
      <w:r>
        <w:rPr>
          <w:rFonts w:hint="eastAsia" w:ascii="黑体" w:hAnsi="黑体" w:eastAsia="黑体" w:cs="黑体"/>
          <w:sz w:val="24"/>
          <w:szCs w:val="24"/>
        </w:rPr>
        <w:t>挤奶前应清洗乳头，前药浴，用干净毛巾或纸巾擦干，弃去头3把奶，套杯，挤奶前后应用包含但不限于含碘药浴液药浴。</w:t>
      </w:r>
    </w:p>
    <w:p>
      <w:pPr>
        <w:spacing w:before="156" w:beforeLines="50" w:after="156" w:afterLines="50" w:line="360" w:lineRule="auto"/>
        <w:ind w:firstLine="480" w:firstLineChars="200"/>
        <w:rPr>
          <w:rFonts w:ascii="黑体" w:hAnsi="黑体" w:eastAsia="黑体" w:cs="黑体"/>
          <w:sz w:val="24"/>
          <w:szCs w:val="24"/>
        </w:rPr>
      </w:pPr>
      <w:r>
        <w:rPr>
          <w:rFonts w:hint="eastAsia" w:ascii="黑体" w:hAnsi="黑体" w:eastAsia="黑体" w:cs="黑体"/>
          <w:sz w:val="24"/>
          <w:szCs w:val="24"/>
        </w:rPr>
        <w:t>5.4 挤奶时异常情况处理</w:t>
      </w:r>
    </w:p>
    <w:p>
      <w:pPr>
        <w:spacing w:before="156" w:beforeLines="50" w:after="156" w:afterLines="50" w:line="360" w:lineRule="auto"/>
        <w:ind w:firstLine="480" w:firstLineChars="200"/>
        <w:rPr>
          <w:rFonts w:ascii="黑体" w:hAnsi="黑体" w:eastAsia="黑体" w:cs="黑体"/>
          <w:sz w:val="24"/>
          <w:szCs w:val="24"/>
        </w:rPr>
      </w:pPr>
      <w:r>
        <w:rPr>
          <w:rFonts w:hint="eastAsia" w:ascii="黑体" w:hAnsi="黑体" w:eastAsia="黑体" w:cs="黑体"/>
          <w:sz w:val="24"/>
          <w:szCs w:val="24"/>
        </w:rPr>
        <w:t>所采取处理方法，包括但不限于以下措施：</w:t>
      </w:r>
    </w:p>
    <w:p>
      <w:pPr>
        <w:spacing w:before="156" w:beforeLines="50" w:after="156" w:afterLines="50" w:line="360" w:lineRule="auto"/>
        <w:ind w:firstLine="480" w:firstLineChars="200"/>
        <w:rPr>
          <w:rFonts w:ascii="黑体" w:hAnsi="黑体" w:eastAsia="黑体" w:cs="黑体"/>
          <w:sz w:val="24"/>
          <w:szCs w:val="24"/>
        </w:rPr>
      </w:pPr>
      <w:r>
        <w:rPr>
          <w:rFonts w:hint="eastAsia" w:ascii="黑体" w:hAnsi="黑体" w:eastAsia="黑体" w:cs="黑体"/>
          <w:sz w:val="24"/>
          <w:szCs w:val="24"/>
        </w:rPr>
        <w:t>——头3把奶异常或乳腺红肿的奶牛应及时隔离、治疗；</w:t>
      </w:r>
    </w:p>
    <w:p>
      <w:pPr>
        <w:spacing w:before="156" w:beforeLines="50" w:after="156" w:afterLines="50" w:line="360" w:lineRule="auto"/>
        <w:ind w:firstLine="480" w:firstLineChars="200"/>
        <w:rPr>
          <w:rFonts w:ascii="黑体" w:hAnsi="黑体" w:eastAsia="黑体" w:cs="黑体"/>
          <w:sz w:val="24"/>
          <w:szCs w:val="24"/>
        </w:rPr>
      </w:pPr>
      <w:r>
        <w:rPr>
          <w:rFonts w:hint="eastAsia" w:ascii="黑体" w:hAnsi="黑体" w:eastAsia="黑体" w:cs="黑体"/>
          <w:sz w:val="24"/>
          <w:szCs w:val="24"/>
        </w:rPr>
        <w:t>——接触头3把奶异常的人员，应清洗双手消毒，更换一次性手套后再对其它牛只进行挤奶操作。</w:t>
      </w:r>
    </w:p>
    <w:p>
      <w:pPr>
        <w:spacing w:before="156" w:beforeLines="50" w:after="156" w:afterLines="50" w:line="360" w:lineRule="auto"/>
        <w:ind w:firstLine="482" w:firstLineChars="200"/>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jc w:val="both"/>
        <w:rPr>
          <w:rFonts w:eastAsia="仿宋"/>
          <w:sz w:val="24"/>
          <w:szCs w:val="24"/>
        </w:rPr>
      </w:pPr>
      <w:r>
        <w:rPr>
          <w:rFonts w:eastAsia="仿宋"/>
          <w:sz w:val="24"/>
          <w:szCs w:val="24"/>
        </w:rPr>
        <w:t>挤奶时挤奶厅地面粪污清理不及时也会污染奶牛肢蹄甚至乳头。特别是挤奶过程中，挤奶人员的手部或手套受到污染时没有清洗，没有严格按照清洗乳头、前药浴、头三把奶、套杯和后药浴的挤奶操作流程等情况下，无论是传染性还是环境性病原微生物，挤奶过程都会造成病原的传播，特别是传染性病原微生物的传播更加明显，造成奶牛乳腺新感染的发生。奶业年鉴统计2015年以来100头上奶牛规模养殖场全部实现了机械化挤奶。与手工挤奶相比，机器挤奶全过程是在密闭的管道内完成，首先，减少了牛奶被污染的机会，同时在挤奶过程中将牛奶直接输入冷藏罐，使奶温迅速降至5</w:t>
      </w:r>
      <w:r>
        <w:rPr>
          <w:rFonts w:hint="eastAsia" w:ascii="宋体" w:hAnsi="宋体" w:cs="宋体"/>
          <w:sz w:val="24"/>
          <w:szCs w:val="24"/>
        </w:rPr>
        <w:t>℃</w:t>
      </w:r>
      <w:r>
        <w:rPr>
          <w:rFonts w:eastAsia="仿宋"/>
          <w:sz w:val="24"/>
          <w:szCs w:val="24"/>
        </w:rPr>
        <w:t>左右，有效防止牛奶的变质，增加了牛奶的储存时间。其次，机器挤奶利用真空压抽吸，有固定的挤奶频率，每次挤奶的吸力和间隔时间比较均匀一致，有效减少对乳房的不利刺激，有利于降低乳腺炎发生率。最后，机器挤奶模拟了奶牛的排奶反射，速度均匀，可以在较短时间内完成挤奶过程，有利于提高奶牛产奶量。机器挤奶虽然具有诸多优势，但在挤奶操作时必须严格执行挤奶程序。特别要注意冲洗乳头、消毒并擦净乳头，观察牛奶是否正常；挤奶脉动频率和真空压设置合理，防止空吸乳房、过渡挤奶；挤奶结束后要严格清洗挤奶系统，定期检修、更换奶衬。</w:t>
      </w:r>
    </w:p>
    <w:p>
      <w:pPr>
        <w:spacing w:before="156" w:beforeLines="50" w:after="156" w:afterLines="50" w:line="360" w:lineRule="auto"/>
        <w:ind w:firstLine="480" w:firstLineChars="200"/>
        <w:jc w:val="both"/>
        <w:rPr>
          <w:rFonts w:eastAsia="仿宋"/>
          <w:sz w:val="24"/>
          <w:szCs w:val="24"/>
        </w:rPr>
      </w:pPr>
      <w:r>
        <w:rPr>
          <w:rFonts w:eastAsia="仿宋"/>
          <w:sz w:val="24"/>
          <w:szCs w:val="24"/>
        </w:rPr>
        <w:t>为此，奶牛挤奶前冲洗乳头，以减少乳头皮肤粘附的细菌数，然后使用药浴液，确保药浴液覆盖整个乳头，以杀死乳头皮肤上残留的细菌，降低环境性乳腺炎发病率。挤取每个乳头的头三把奶，头三把奶收集在专用容器，便于观察牛奶否有凝块、絮状或水样奶，具有提早发现奶牛乳腺炎的作用，做到及时治疗乳腺炎病牛，不能用机器对患病牛进行挤奶，防止发生交叉传染；发现头三把奶异常的挤奶人员，应清洗、双手消毒或更换一次性手套后再对其它牛只进行操作。同时，头三把奶中体细胞数及细菌数相对较高，收集在专用容器，还能够避免废弃在地面上易污染环境，导致病原微生物传播感染。擦干乳头，保持乳头清洁干燥的目的是尽量减少乳头上的细菌，降低乳房被感染的机率。奶牛挤完奶15 min后，乳头的环状括约肌才能恢复收缩并关闭乳头孔，没有闭合的乳头孔极易受到环境性病原菌的侵袭，挤奶结束脱杯后要立即进行后药浴，使消毒液附着在乳头上形成持续的抑菌层，降低病原菌的侵袭和乳腺炎发病率。美国国家乳腺炎协会将挤奶流程中的“后药浴操作”列入乳腺炎控制“五点计划”。挤奶结束后，将挤奶杯归位以彻底清洗挤奶系统，预清洗用35</w:t>
      </w:r>
      <w:r>
        <w:rPr>
          <w:rFonts w:hint="eastAsia" w:ascii="宋体" w:hAnsi="宋体" w:cs="宋体"/>
          <w:sz w:val="24"/>
          <w:szCs w:val="24"/>
        </w:rPr>
        <w:t>℃</w:t>
      </w:r>
      <w:r>
        <w:rPr>
          <w:rFonts w:eastAsia="仿宋"/>
          <w:sz w:val="24"/>
          <w:szCs w:val="24"/>
        </w:rPr>
        <w:t>～40</w:t>
      </w:r>
      <w:r>
        <w:rPr>
          <w:rFonts w:hint="eastAsia" w:ascii="宋体" w:hAnsi="宋体" w:cs="宋体"/>
          <w:sz w:val="24"/>
          <w:szCs w:val="24"/>
        </w:rPr>
        <w:t>℃</w:t>
      </w:r>
      <w:r>
        <w:rPr>
          <w:rFonts w:eastAsia="仿宋"/>
          <w:sz w:val="24"/>
          <w:szCs w:val="24"/>
        </w:rPr>
        <w:t>的温水直接排出，直到水清为止。循环清洗用65</w:t>
      </w:r>
      <w:r>
        <w:rPr>
          <w:rFonts w:hint="eastAsia" w:ascii="宋体" w:hAnsi="宋体" w:cs="宋体"/>
          <w:sz w:val="24"/>
          <w:szCs w:val="24"/>
        </w:rPr>
        <w:t>℃</w:t>
      </w:r>
      <w:r>
        <w:rPr>
          <w:rFonts w:eastAsia="仿宋"/>
          <w:sz w:val="24"/>
          <w:szCs w:val="24"/>
        </w:rPr>
        <w:t>～85</w:t>
      </w:r>
      <w:r>
        <w:rPr>
          <w:rFonts w:hint="eastAsia" w:ascii="宋体" w:hAnsi="宋体" w:cs="宋体"/>
          <w:sz w:val="24"/>
          <w:szCs w:val="24"/>
        </w:rPr>
        <w:t>℃</w:t>
      </w:r>
      <w:r>
        <w:rPr>
          <w:rFonts w:eastAsia="仿宋"/>
          <w:sz w:val="24"/>
          <w:szCs w:val="24"/>
        </w:rPr>
        <w:t>热水加碱性清洗剂和35</w:t>
      </w:r>
      <w:r>
        <w:rPr>
          <w:rFonts w:hint="eastAsia" w:ascii="宋体" w:hAnsi="宋体" w:cs="宋体"/>
          <w:sz w:val="24"/>
          <w:szCs w:val="24"/>
        </w:rPr>
        <w:t>℃</w:t>
      </w:r>
      <w:r>
        <w:rPr>
          <w:rFonts w:eastAsia="仿宋"/>
          <w:sz w:val="24"/>
          <w:szCs w:val="24"/>
        </w:rPr>
        <w:t>～45</w:t>
      </w:r>
      <w:r>
        <w:rPr>
          <w:rFonts w:hint="eastAsia" w:ascii="宋体" w:hAnsi="宋体" w:cs="宋体"/>
          <w:sz w:val="24"/>
          <w:szCs w:val="24"/>
        </w:rPr>
        <w:t>℃</w:t>
      </w:r>
      <w:r>
        <w:rPr>
          <w:rFonts w:eastAsia="仿宋"/>
          <w:sz w:val="24"/>
          <w:szCs w:val="24"/>
        </w:rPr>
        <w:t>酸性清洗剂循环清洗8 min～15 min，排出的清洗液温度不低于40</w:t>
      </w:r>
      <w:r>
        <w:rPr>
          <w:rFonts w:hint="eastAsia" w:ascii="宋体" w:hAnsi="宋体" w:cs="宋体"/>
          <w:sz w:val="24"/>
          <w:szCs w:val="24"/>
        </w:rPr>
        <w:t>℃</w:t>
      </w:r>
      <w:r>
        <w:rPr>
          <w:rFonts w:eastAsia="仿宋"/>
          <w:sz w:val="24"/>
          <w:szCs w:val="24"/>
        </w:rPr>
        <w:t>，最后用干净清水冲洗。因此，为了降低挤奶过程中奶牛乳头接触病原菌，必须注意挤奶卫生，包括毛巾、挤奶员的手、挤奶器、乳杯的清洗和消毒。另外，挤奶员的挤奶技术、挤奶程序或突然更换挤奶方式等对奶牛乳房都会产生一定的危害，可能导致乳腺炎的发生</w:t>
      </w:r>
      <w:r>
        <w:rPr>
          <w:rFonts w:eastAsia="仿宋"/>
          <w:b/>
          <w:bCs/>
          <w:sz w:val="24"/>
          <w:szCs w:val="24"/>
        </w:rPr>
        <w:t>。</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标准内容5.5乳头评价</w:t>
      </w:r>
    </w:p>
    <w:p>
      <w:pPr>
        <w:spacing w:before="156" w:beforeLines="50" w:after="156" w:afterLines="50" w:line="360" w:lineRule="auto"/>
        <w:ind w:firstLine="480" w:firstLineChars="200"/>
        <w:rPr>
          <w:rFonts w:eastAsiaTheme="minorEastAsia"/>
          <w:sz w:val="24"/>
          <w:szCs w:val="24"/>
        </w:rPr>
      </w:pPr>
      <w:r>
        <w:rPr>
          <w:rFonts w:eastAsia="黑体"/>
          <w:sz w:val="24"/>
          <w:szCs w:val="24"/>
        </w:rPr>
        <w:t>泌乳牛乳头端和</w:t>
      </w:r>
      <w:r>
        <w:rPr>
          <w:rFonts w:eastAsia="黑体"/>
          <w:color w:val="000000"/>
          <w:sz w:val="24"/>
          <w:szCs w:val="24"/>
        </w:rPr>
        <w:t>乳腺</w:t>
      </w:r>
      <w:r>
        <w:rPr>
          <w:rFonts w:eastAsia="黑体"/>
          <w:sz w:val="24"/>
          <w:szCs w:val="24"/>
        </w:rPr>
        <w:t>孔角质层宜无明显的皲裂，评分宜在3分以内，见附录B。</w:t>
      </w:r>
    </w:p>
    <w:p>
      <w:pPr>
        <w:spacing w:before="156" w:beforeLines="50" w:after="156" w:afterLines="50" w:line="360" w:lineRule="auto"/>
        <w:ind w:firstLine="482" w:firstLineChars="200"/>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jc w:val="both"/>
        <w:rPr>
          <w:rFonts w:eastAsia="仿宋"/>
          <w:sz w:val="24"/>
          <w:szCs w:val="24"/>
        </w:rPr>
      </w:pPr>
      <w:r>
        <w:rPr>
          <w:rFonts w:eastAsia="仿宋"/>
          <w:sz w:val="24"/>
          <w:szCs w:val="24"/>
        </w:rPr>
        <w:t>奶牛乳头末端健康直接影响了乳腺炎发病率，健康的乳头孔周边括约肌功能良好，收缩和舒张都比较及时，挤完奶后及时收缩、关闭乳头孔，且乳头孔被收缩的括约肌和重新形成的角蛋白封闭而形成屏障阻止细菌的侵入。影响乳头末端健康的因素主要是挤奶设备的真空和脉动设置、奶衬及后药浴。真空水平过高，过度挤奶造成抽吸乳头组织导致乳头损伤；真空水平过低，挤奶时间延长，相应的在杯时间越长也会造成乳头损伤。Haghkhah等研究结果发现奶牛乳头末端健康程度与体细胞数有负相关关系。美国国家乳腺炎协会推荐，奶牛乳头末端皲裂度控制对乳腺炎发病率有显著影响，并给出了相应的图示。Smits和赵玲玲（2017）报道乳头末端评分为3分（乳头末端有环状突出）和乳头末端评分为4分（非常粗糙的突出）的乳区患乳腺炎的风险比健康乳头分别高6倍和12倍。吕倩等（2020）研究了乳头评分与奶牛隐性乳腺炎发病率之间的相关性，结果发现奶牛乳头评分1分、2分、3分和4分的乳区隐性乳腺炎的发生率分别为15.53%、11.11%、33.90%和45.00%，乳房评分与隐性乳腺炎发病率呈显著的正相关关系，系数为0.91。</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 xml:space="preserve">标准内容6.1 </w:t>
      </w:r>
      <w:bookmarkStart w:id="5" w:name="_Hlk62254753"/>
      <w:r>
        <w:rPr>
          <w:rFonts w:hint="eastAsia" w:ascii="黑体" w:hAnsi="黑体" w:eastAsia="黑体" w:cs="黑体"/>
          <w:b/>
          <w:bCs/>
          <w:color w:val="000000"/>
          <w:sz w:val="24"/>
          <w:szCs w:val="24"/>
        </w:rPr>
        <w:t>环境卫生</w:t>
      </w:r>
      <w:bookmarkEnd w:id="5"/>
    </w:p>
    <w:p>
      <w:pPr>
        <w:spacing w:before="156" w:beforeLines="50" w:after="156" w:afterLines="50" w:line="360" w:lineRule="auto"/>
        <w:ind w:firstLine="480" w:firstLineChars="200"/>
        <w:rPr>
          <w:rFonts w:eastAsiaTheme="minorEastAsia"/>
          <w:sz w:val="24"/>
          <w:szCs w:val="24"/>
        </w:rPr>
      </w:pPr>
      <w:r>
        <w:rPr>
          <w:rFonts w:eastAsia="黑体"/>
          <w:sz w:val="24"/>
          <w:szCs w:val="24"/>
        </w:rPr>
        <w:t xml:space="preserve">奶牛养殖场环境卫生应符合GB/T 16568的规定。牛床宜采用包含但不限于沙子、稻壳、发酵后的干牛粪等垫料，并及时清理粪污，应保持牛床清洁干净。 </w:t>
      </w:r>
    </w:p>
    <w:p>
      <w:pPr>
        <w:spacing w:before="156" w:beforeLines="50" w:after="156" w:afterLines="50" w:line="360" w:lineRule="auto"/>
        <w:ind w:firstLine="482" w:firstLineChars="200"/>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rPr>
          <w:rFonts w:eastAsia="仿宋"/>
          <w:sz w:val="24"/>
          <w:szCs w:val="24"/>
        </w:rPr>
      </w:pPr>
      <w:r>
        <w:rPr>
          <w:rFonts w:eastAsia="仿宋"/>
          <w:sz w:val="24"/>
          <w:szCs w:val="24"/>
        </w:rPr>
        <w:t>奶牛生活的环境包括牛舍、卧床、运动场、水槽、饲槽附近等地方受到粪污污染、清理不及时就会滋生大量的环境性致病菌，主要包括大肠杆菌群（大肠杆菌、产气肠杆菌、变形杆菌、假单胞菌）、乳房链球菌等，正常情况下这些环境性病原菌不会造成乳腺的感染，但奶牛卧在卫生条件差的卧床或奶牛乳房乳头受到粪污等污染，这些环境性病原菌就侵入乳池引起乳腺感染。杨文刚等（2020）对新疆奎屯垦区集约化牧场的奶牛生鲜乳、养殖圈舍环境、挤奶厅、奶罐取样，进行奶牛乳腺炎致病菌样品检测，结果发现3个养殖场检测到的病原菌最主要的环境型的酵母菌和葡萄球菌属，其中酵母菌的检出率是76.9%～94.6%；葡萄球菌属的检出率是55.6%～84.6%。徐锋等（2020）通过对80份生鲜乳样本和163份环境样本中分离的细菌和微生物质谱鉴定仪鉴定，发现生鲜乳中大肠杆菌的分离率为63.5%，而环境样本中大肠杆菌：垫料分离率75%、土壤分离率75%、粪便分离率50%。同时，还发现肺炎克雷伯氏菌在饲料中的分离率为50%，其它肠杆菌科细菌在奶衬和饲料中的分离率为25%。标准起草组于2021年在山东省3个规模化奶牛养殖场牛舍粪污、挤奶厅奶衬等环境型病原菌的检测表明，从乳头皮肤、垫料和奶衬中都能分离到大肠杆菌，其检出率在66.5%以上。</w:t>
      </w:r>
    </w:p>
    <w:p>
      <w:pPr>
        <w:spacing w:before="156" w:beforeLines="50" w:after="156" w:afterLines="50" w:line="360" w:lineRule="auto"/>
        <w:ind w:firstLine="480" w:firstLineChars="200"/>
        <w:rPr>
          <w:rFonts w:eastAsia="仿宋"/>
          <w:sz w:val="24"/>
          <w:szCs w:val="24"/>
        </w:rPr>
      </w:pPr>
      <w:r>
        <w:rPr>
          <w:rFonts w:eastAsia="仿宋"/>
          <w:sz w:val="24"/>
          <w:szCs w:val="24"/>
        </w:rPr>
        <w:t>牛床是牛舍环境的重要组成部分，奶牛每天约有50%～60%时间趴卧在牛床，因此，改善牛床清洁度、舒适度是提高奶牛生产性能的重要措施。Zdanowicz等研究表明卧床的垫料会影响奶牛乳房健康状况，奶牛在表面坚硬的水泥牛床上趴窝，会加剧肢蹄的损伤，增加了感染病原微生物的机会；牛床用沙子垫料有利于减少乳腺炎，主要是沙子比较干燥，不适合生物生存。因此，大肠杆菌、金黄色葡萄球菌和无乳链球菌等乳腺炎病原菌无法在沙子中生存，从而降低了乳腺炎的发生率。牛床使用沙子垫料来替代木屑和稻草，不仅可以使奶牛更加舒适、干净，同时还减少了与病原菌的接触。Eicher等研究表明，用橡胶垫地板与水泥地面牛床相比，牛床用橡胶垫地板的牛群产奶量有增加的趋势。近年来，将牛粪固液分离处理后作为牛床垫料在国外的许多牧场得到应用，既解决粪污对环境造成的污染，实现了牛粪的循环利用，又解决了牛床垫料来源的问题。还可以降低细菌繁殖率及蹄病发生率，更好地保障了奶牛健康。并有检测结果表明，牛床用干燥的牛粪垫料后7</w:t>
      </w:r>
      <w:r>
        <w:rPr>
          <w:rFonts w:hint="eastAsia" w:eastAsia="仿宋"/>
          <w:sz w:val="24"/>
          <w:szCs w:val="24"/>
          <w:lang w:val="en-US" w:eastAsia="zh-CN"/>
        </w:rPr>
        <w:t xml:space="preserve"> </w:t>
      </w:r>
      <w:r>
        <w:rPr>
          <w:rFonts w:eastAsia="仿宋"/>
          <w:sz w:val="24"/>
          <w:szCs w:val="24"/>
        </w:rPr>
        <w:t>d大肠杆菌为48.92 copy/mL、克雷伯氏杆菌为13.17 copy/mL和链球菌为2.73 copy/mL，环境性乳腺炎检测数值正常范围。</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标准内容6.2.2 肢蹄清洁度</w:t>
      </w:r>
    </w:p>
    <w:p>
      <w:pPr>
        <w:spacing w:before="156" w:beforeLines="50" w:after="156" w:afterLines="50" w:line="360" w:lineRule="auto"/>
        <w:ind w:firstLine="480" w:firstLineChars="200"/>
        <w:rPr>
          <w:rFonts w:eastAsiaTheme="minorEastAsia"/>
          <w:sz w:val="24"/>
          <w:szCs w:val="24"/>
        </w:rPr>
      </w:pPr>
      <w:r>
        <w:rPr>
          <w:rFonts w:eastAsia="黑体"/>
          <w:sz w:val="24"/>
          <w:szCs w:val="24"/>
        </w:rPr>
        <w:t>泌乳牛下肢和后蹄宜无大量结块的粪污斑块，其清洁度评分宜在3分以内，见附录D。</w:t>
      </w:r>
    </w:p>
    <w:p>
      <w:pPr>
        <w:spacing w:before="156" w:beforeLines="50" w:after="156" w:afterLines="50" w:line="360" w:lineRule="auto"/>
        <w:ind w:firstLine="482" w:firstLineChars="200"/>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rPr>
          <w:rFonts w:eastAsia="仿宋"/>
          <w:sz w:val="24"/>
          <w:szCs w:val="24"/>
        </w:rPr>
      </w:pPr>
      <w:r>
        <w:rPr>
          <w:rFonts w:eastAsia="仿宋"/>
          <w:sz w:val="24"/>
          <w:szCs w:val="24"/>
        </w:rPr>
        <w:t>牛舍、卧床和运动场要设计合理，牛床垫料需保持干燥清洁，及时清理牛舍牛床内的粪便、积水等，保持良好的卫生环境，特别是奶牛后躯、乳房表面和乳头皮肤必须保持干净，才能有效降低环境中病原菌侵入乳腺的机会，降低乳腺疾病的发生率。综上所述，评估奶牛养殖场环境卫生清洁度最好的方法是后躯、乳房和乳头以及肢蹄。董刚辉等对780头荷斯坦奶牛后躯（后腿上部及侧面）、乳房、肢蹄（后腿下部）进行洁净度评分，为1分～4分，SAS软件统计分析发现乳房和下肢洁净度评分对体细胞数影响显著，随着乳房和下肢洁净度评分的增加有上升的趋势，而上肢洁净度评分对体细胞数影响不显著。Reneau等表明奶牛腿部和乳房清洁度高，其奶中体细胞得分也较低。尤震晨等（2019）等对670头荷斯坦奶牛后躯、乳房、肢蹄进行洁净度评分，采用SAS统计软件分析了奶牛后躯、乳房及肢蹄洁净度与乳中体细胞数的关系，结果发现奶牛后躯清洁度评分对体细胞数影响不显著，而后腿下部洁净度评分与乳房洁净度评分对体细胞评分有极显著影响。</w:t>
      </w:r>
    </w:p>
    <w:p>
      <w:pPr>
        <w:spacing w:before="156" w:beforeLines="50" w:after="156" w:afterLines="50" w:line="360" w:lineRule="auto"/>
        <w:ind w:firstLine="480" w:firstLineChars="200"/>
        <w:rPr>
          <w:rFonts w:eastAsia="仿宋"/>
          <w:sz w:val="24"/>
          <w:szCs w:val="24"/>
        </w:rPr>
      </w:pPr>
      <w:r>
        <w:rPr>
          <w:rFonts w:eastAsia="仿宋"/>
          <w:sz w:val="24"/>
          <w:szCs w:val="24"/>
        </w:rPr>
        <w:t>奶牛自身及环境诱发乳腺炎的病原微生物种类繁多，包括细菌、真菌、病毒等，都可能引起奶牛隐性乳腺炎，有研究报道从奶牛乳腺组织中分离到150余种病原微生物。细菌性乳腺炎是最常见的类型，按照细菌的传染方式，可分为接触传染性病原微生物和环境病原微生物两类，其中接触传染性病原微生物可通过挤奶器、乳杯等直接或间接传染进而侵入乳腺。这类病原菌主要是金黄色葡萄球菌、无乳链球菌和停乳链球菌三种。环境性病原菌是指源于奶牛养殖环境中的各种微生物，包括牛床垫料、粪便、污水等，当奶牛乳房粘附这些污染物后引起病原菌侵入乳腺导致发病，这类病原菌主要包括大肠杆菌、乳房链球菌、化脓性棒状杆菌等。</w:t>
      </w:r>
    </w:p>
    <w:p>
      <w:pPr>
        <w:spacing w:before="156" w:beforeLines="50" w:after="156" w:afterLines="50" w:line="360" w:lineRule="auto"/>
        <w:ind w:firstLine="480" w:firstLineChars="200"/>
        <w:jc w:val="both"/>
        <w:rPr>
          <w:rFonts w:eastAsia="仿宋"/>
          <w:sz w:val="24"/>
          <w:szCs w:val="24"/>
        </w:rPr>
      </w:pPr>
      <w:r>
        <w:rPr>
          <w:rFonts w:eastAsia="仿宋"/>
          <w:sz w:val="24"/>
          <w:szCs w:val="24"/>
        </w:rPr>
        <w:t>大量研究结果表明，金黄色葡萄球菌、大肠杆菌、链球菌是我国大部分奶牛养殖场最为常见的乳腺炎病原菌。采用常规微生物学结合16S rRNA细菌鉴定的方法，研究结果表明规模化养殖场个体奶牛金黄色葡萄球菌的分离率为8.8%～26.6%，奶罐奶中金黄色葡萄球菌的分离率为10.2%～50.1%，而土耳其奶牛养殖场金黄色葡萄球菌的分离率为56%、挪威金黄色葡萄球菌的分离率为47.3%，意大利金黄色葡萄球菌的分离率甚至高达83%。Gao等采集了甘肃、内蒙古、黑龙江、广西等161个大型奶牛场的3288份临床性乳腺炎牛奶样品，细菌分离鉴定结果表明大肠杆菌分离率最高为14.4%。张莉莉（2018）采集了甘肃、宁夏、青海和内蒙古12个奶牛养殖场202份乳腺炎奶牛样品，采用16S rDNA测序方法鉴定出18种病原菌，大肠杆菌分离率为34.5%。姚伟等（2016）采集了辽宁地区某大型奶牛场75头临床乳腺炎奶样，通过细菌培养与分离以及生化方法鉴定，发现大肠杆菌的分离率可达58.7%，链球菌的分离率为54.7%。杜琳等（2018）采集了内蒙古、河北、黑龙江、上海和山东等地区247份乳腺炎奶样，分离鉴定了病原微生物，发现大肠杆菌分离率为37.1%、金黄色葡萄球菌分离率为17.1%、粪肠球菌分离率为12.0%、链球菌分离率为7.4%。王雯卿（2018）采集了吉林省某奶牛养殖场隐性乳腺炎病牛奶，分离鉴定了主要病原微生物，结果表明金黄色葡萄球菌分离率为54%、大肠杆菌分离率为26%、无乳链球菌分离率为34%、乳房链球菌分离率为14%和停乳链球菌分离率为2%。苑晓萌等（2021）选择山东省3个地区的规模化奶牛场共采集227份牛奶样品，采用细菌学方法对大肠杆菌进行分离鉴定，分离出71株大肠杆菌，分离率为31.3%。对上海市及其周边地区奶牛场的乳腺炎奶牛乳中大肠杆菌鉴定发现，其检出率在20%～40%。刘凯等（2020）通过中国知网（CNKI）设置检索关键词为奶牛乳腺炎或奶牛乳腺炎、细菌分离，检索年份为2000-2021年，筛选到可供分析的论文，并根据气候等因素将中国地域划分为三大区域为西北、北方、南方，结果发现西北地区奶牛乳腺炎致病菌大致可分为22种，复杂程度远超过北方与南方两大地理分区（分别为16、17种细菌），而三大致病菌葡萄球菌、链球菌、肠杆菌分别为79.5%、90.4%、84%。但三大地域间奶中乳腺炎主要致病菌分离率无显著性差异，金黄色葡萄球菌与大肠杆菌呈先上升后下降的趋势，凝固酶阴性葡萄球菌和无乳链球菌呈上升趋势，而停乳链球菌与乳房链球菌则呈下降趋势。此外，研究表明由大肠杆菌感染乳腺引起的乳中体细胞数在感染时出现高峰（1500000～2000000 scc/mL），感染后下降较快；而被金黄色葡萄球菌感染的乳腺，乳中体细胞数高峰值较高（1800000～2200000 scc/mL），且在感染后较长的一段时间内体细胞数不能恢复到正常水平。</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标准内容7.1冷应激防护</w:t>
      </w:r>
    </w:p>
    <w:p>
      <w:pPr>
        <w:spacing w:before="156" w:beforeLines="50" w:after="156" w:afterLines="50" w:line="360" w:lineRule="auto"/>
        <w:ind w:firstLine="480" w:firstLineChars="200"/>
        <w:rPr>
          <w:rFonts w:ascii="黑体" w:hAnsi="黑体" w:eastAsia="黑体"/>
          <w:bCs/>
          <w:sz w:val="24"/>
          <w:szCs w:val="24"/>
        </w:rPr>
      </w:pPr>
      <w:r>
        <w:rPr>
          <w:rFonts w:ascii="黑体" w:hAnsi="黑体" w:eastAsia="黑体"/>
          <w:bCs/>
          <w:sz w:val="24"/>
          <w:szCs w:val="24"/>
        </w:rPr>
        <w:t>冬季牛舍应做好防风防寒，当牛舍温度低于0</w:t>
      </w:r>
      <w:r>
        <w:rPr>
          <w:rFonts w:hint="eastAsia" w:ascii="黑体" w:hAnsi="黑体" w:eastAsia="黑体" w:cs="宋体"/>
          <w:bCs/>
          <w:sz w:val="24"/>
          <w:szCs w:val="24"/>
        </w:rPr>
        <w:t>℃</w:t>
      </w:r>
      <w:r>
        <w:rPr>
          <w:rFonts w:ascii="黑体" w:hAnsi="黑体" w:eastAsia="黑体"/>
          <w:bCs/>
          <w:sz w:val="24"/>
          <w:szCs w:val="24"/>
        </w:rPr>
        <w:t>时，宜挂卷帘、设挡风屏障等措施提高保温性能。</w:t>
      </w:r>
    </w:p>
    <w:p>
      <w:pPr>
        <w:spacing w:before="156" w:beforeLines="50" w:after="156" w:afterLines="50" w:line="360" w:lineRule="auto"/>
        <w:ind w:firstLine="482" w:firstLineChars="200"/>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jc w:val="both"/>
        <w:rPr>
          <w:rFonts w:eastAsia="仿宋"/>
          <w:sz w:val="24"/>
          <w:szCs w:val="24"/>
        </w:rPr>
      </w:pPr>
      <w:r>
        <w:rPr>
          <w:rFonts w:eastAsia="仿宋"/>
          <w:sz w:val="24"/>
          <w:szCs w:val="24"/>
        </w:rPr>
        <w:t>应激是机体应答威胁自身平衡和稳定所做出的非特异性防御反应。荷斯坦成年牛的最适环境温度为10</w:t>
      </w:r>
      <w:r>
        <w:rPr>
          <w:rFonts w:hint="eastAsia" w:ascii="宋体" w:hAnsi="宋体" w:cs="宋体"/>
          <w:sz w:val="24"/>
          <w:szCs w:val="24"/>
        </w:rPr>
        <w:t>℃</w:t>
      </w:r>
      <w:r>
        <w:rPr>
          <w:rFonts w:eastAsia="仿宋"/>
          <w:sz w:val="24"/>
          <w:szCs w:val="24"/>
        </w:rPr>
        <w:t>～15</w:t>
      </w:r>
      <w:r>
        <w:rPr>
          <w:rFonts w:hint="eastAsia" w:ascii="宋体" w:hAnsi="宋体" w:cs="宋体"/>
          <w:sz w:val="24"/>
          <w:szCs w:val="24"/>
        </w:rPr>
        <w:t>℃</w:t>
      </w:r>
      <w:r>
        <w:rPr>
          <w:rFonts w:eastAsia="仿宋"/>
          <w:sz w:val="24"/>
          <w:szCs w:val="24"/>
        </w:rPr>
        <w:t>，耐受范围则为-15</w:t>
      </w:r>
      <w:r>
        <w:rPr>
          <w:rFonts w:hint="eastAsia" w:ascii="宋体" w:hAnsi="宋体" w:cs="宋体"/>
          <w:sz w:val="24"/>
          <w:szCs w:val="24"/>
        </w:rPr>
        <w:t>℃</w:t>
      </w:r>
      <w:r>
        <w:rPr>
          <w:rFonts w:eastAsia="仿宋"/>
          <w:sz w:val="24"/>
          <w:szCs w:val="24"/>
        </w:rPr>
        <w:t>～26</w:t>
      </w:r>
      <w:r>
        <w:rPr>
          <w:rFonts w:hint="eastAsia" w:ascii="宋体" w:hAnsi="宋体" w:cs="宋体"/>
          <w:sz w:val="24"/>
          <w:szCs w:val="24"/>
        </w:rPr>
        <w:t>℃</w:t>
      </w:r>
      <w:r>
        <w:rPr>
          <w:rFonts w:eastAsia="仿宋"/>
          <w:sz w:val="24"/>
          <w:szCs w:val="24"/>
        </w:rPr>
        <w:t>。冷应激就是机体对低温环境产生的非特异性应答反应，有研究表明牛舍温低于0</w:t>
      </w:r>
      <w:r>
        <w:rPr>
          <w:rFonts w:hint="eastAsia" w:ascii="宋体" w:hAnsi="宋体" w:cs="宋体"/>
          <w:sz w:val="24"/>
          <w:szCs w:val="24"/>
        </w:rPr>
        <w:t>℃</w:t>
      </w:r>
      <w:r>
        <w:rPr>
          <w:rFonts w:eastAsia="仿宋"/>
          <w:sz w:val="24"/>
          <w:szCs w:val="24"/>
        </w:rPr>
        <w:t>就会造成奶牛产奶量下降，至-10</w:t>
      </w:r>
      <w:r>
        <w:rPr>
          <w:rFonts w:hint="eastAsia" w:ascii="宋体" w:hAnsi="宋体" w:cs="宋体"/>
          <w:sz w:val="24"/>
          <w:szCs w:val="24"/>
        </w:rPr>
        <w:t>℃</w:t>
      </w:r>
      <w:r>
        <w:rPr>
          <w:rFonts w:eastAsia="仿宋"/>
          <w:sz w:val="24"/>
          <w:szCs w:val="24"/>
        </w:rPr>
        <w:t>奶中体细胞数明显增加，因氧化应激引起免疫力下降，Shathele等报道奶牛乳腺炎发生率增加，使奶牛养殖的经济效益降低。El-tahawy等分析发现，秋天和冬天奶罐奶中体细胞数显著高于其它季节。可通过牛舍挂门帘、设挡风屏障、加盖塑料布等措施来提高保温性能，使牛舍温度尽可能的不低于0</w:t>
      </w:r>
      <w:r>
        <w:rPr>
          <w:rFonts w:hint="eastAsia" w:ascii="宋体" w:hAnsi="宋体" w:cs="宋体"/>
          <w:sz w:val="24"/>
          <w:szCs w:val="24"/>
        </w:rPr>
        <w:t>℃</w:t>
      </w:r>
      <w:r>
        <w:rPr>
          <w:rFonts w:eastAsia="仿宋"/>
          <w:sz w:val="24"/>
          <w:szCs w:val="24"/>
        </w:rPr>
        <w:t>。</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标准内容7.2热应激防护</w:t>
      </w:r>
    </w:p>
    <w:p>
      <w:pPr>
        <w:spacing w:before="156" w:beforeLines="50" w:after="156" w:afterLines="50" w:line="360" w:lineRule="auto"/>
        <w:ind w:firstLine="480" w:firstLineChars="200"/>
        <w:rPr>
          <w:rFonts w:ascii="黑体" w:hAnsi="黑体" w:eastAsia="黑体"/>
          <w:bCs/>
          <w:sz w:val="24"/>
          <w:szCs w:val="24"/>
        </w:rPr>
      </w:pPr>
      <w:r>
        <w:rPr>
          <w:rFonts w:ascii="黑体" w:hAnsi="黑体" w:eastAsia="黑体"/>
          <w:bCs/>
          <w:sz w:val="24"/>
          <w:szCs w:val="24"/>
        </w:rPr>
        <w:t>牛舍温湿度指数评价应按照NY/T 2363规定。当温湿度指数大于68时，宜采用遮阳、开风机通风和喷雾喷淋等措施，缓解热应激。</w:t>
      </w:r>
    </w:p>
    <w:p>
      <w:pPr>
        <w:spacing w:before="156" w:beforeLines="50" w:after="156" w:afterLines="50" w:line="360" w:lineRule="auto"/>
        <w:ind w:firstLine="482" w:firstLineChars="200"/>
        <w:jc w:val="both"/>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0" w:firstLineChars="200"/>
        <w:jc w:val="both"/>
        <w:rPr>
          <w:rFonts w:eastAsia="仿宋"/>
          <w:sz w:val="24"/>
          <w:szCs w:val="24"/>
        </w:rPr>
      </w:pPr>
      <w:r>
        <w:rPr>
          <w:rFonts w:eastAsia="仿宋"/>
          <w:sz w:val="24"/>
          <w:szCs w:val="24"/>
        </w:rPr>
        <w:t>热应激是指机体应对环境高温所产生的非特异性应答反应。热应激的结果造成动物采食量、生产繁殖性能和免疫力降低。随着全球气候变暖，热应激已成为危害畜牧生产的重要因素。评价奶牛热应激最简单方便的指标就是温湿度指数（THI），THI小于72时表明没有热应激的发生，THI在72~ 79则表示轻度热应激，THI在79~ 88表示有中度热应激，THI &gt; 88时则表示重度热应激。奶牛生产性能测定结果显示，热应激会造成奶中体细胞数增加10%～15%左右，体细胞数得分升高（</w:t>
      </w:r>
      <w:r>
        <w:rPr>
          <w:rFonts w:hint="eastAsia" w:eastAsia="仿宋"/>
          <w:sz w:val="24"/>
          <w:szCs w:val="24"/>
        </w:rPr>
        <w:t>见下图</w:t>
      </w:r>
      <w:r>
        <w:rPr>
          <w:rFonts w:eastAsia="仿宋"/>
          <w:sz w:val="24"/>
          <w:szCs w:val="24"/>
        </w:rPr>
        <w:t>），奶牛临床型乳腺炎发病率呈显著增加的趋势。常见的降低THI的方法有遮阳、风机-喷淋或喷雾。泌乳牛舍采食区采用风机-喷淋或喷雾系统，进行强制通风降温，按风速要求确定安装距离，尽量降低高度，确保空气流通，一般距离风机5 m处风速可以达到2 m/s～4 m/s；喷淋或喷雾时间20 s～30 s，间隔5 min。热应激会造成奶牛呼吸次数增加、体温上升而干物质采食量下降，能量摄入减少，处于代谢负平衡状态，轻者影响生产性能发挥，重者造成代谢紊乱、脱水、休克和死亡。</w:t>
      </w:r>
    </w:p>
    <w:p>
      <w:pPr>
        <w:spacing w:before="156" w:beforeLines="50" w:after="156" w:afterLines="50" w:line="360" w:lineRule="auto"/>
        <w:jc w:val="center"/>
        <w:rPr>
          <w:rFonts w:eastAsiaTheme="minorEastAsia"/>
          <w:sz w:val="21"/>
          <w:szCs w:val="21"/>
        </w:rPr>
      </w:pPr>
      <w:r>
        <w:rPr>
          <w:rFonts w:eastAsiaTheme="minorEastAsia"/>
          <w:sz w:val="21"/>
          <w:szCs w:val="21"/>
        </w:rPr>
        <w:drawing>
          <wp:inline distT="0" distB="0" distL="0" distR="0">
            <wp:extent cx="3990975" cy="2644775"/>
            <wp:effectExtent l="0" t="0" r="9525" b="317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8"/>
                    <a:srcRect t="75443"/>
                    <a:stretch>
                      <a:fillRect/>
                    </a:stretch>
                  </pic:blipFill>
                  <pic:spPr>
                    <a:xfrm>
                      <a:off x="0" y="0"/>
                      <a:ext cx="3990975" cy="2644775"/>
                    </a:xfrm>
                    <a:prstGeom prst="rect">
                      <a:avLst/>
                    </a:prstGeom>
                  </pic:spPr>
                </pic:pic>
              </a:graphicData>
            </a:graphic>
          </wp:inline>
        </w:drawing>
      </w:r>
    </w:p>
    <w:p>
      <w:pPr>
        <w:spacing w:before="156" w:beforeLines="50" w:after="156" w:afterLines="50" w:line="360" w:lineRule="auto"/>
        <w:jc w:val="center"/>
        <w:rPr>
          <w:rFonts w:eastAsiaTheme="minorEastAsia"/>
          <w:sz w:val="21"/>
          <w:szCs w:val="21"/>
        </w:rPr>
      </w:pPr>
      <w:r>
        <w:rPr>
          <w:rFonts w:eastAsiaTheme="minorEastAsia"/>
          <w:sz w:val="21"/>
          <w:szCs w:val="21"/>
        </w:rPr>
        <w:t>温湿度指数与体细胞数得分结果（引自Hammami et al., J Dairy Sci, 2013,96:1844-1855）</w:t>
      </w:r>
    </w:p>
    <w:p>
      <w:pPr>
        <w:spacing w:before="156" w:beforeLines="50" w:after="156" w:afterLines="50" w:line="360" w:lineRule="auto"/>
        <w:ind w:firstLine="480" w:firstLineChars="200"/>
        <w:jc w:val="both"/>
        <w:rPr>
          <w:rFonts w:eastAsia="仿宋"/>
          <w:sz w:val="24"/>
          <w:szCs w:val="24"/>
        </w:rPr>
      </w:pPr>
      <w:r>
        <w:rPr>
          <w:rFonts w:eastAsia="仿宋"/>
          <w:sz w:val="24"/>
          <w:szCs w:val="24"/>
        </w:rPr>
        <w:t>标准起草组对安徽省某奶牛养殖场2018～2019年体细胞数测定进行了分析，设定体细胞数在200000 scc/mL以下为健康，200000 scc/mL～500000 scc/mL为可疑，500000 scc/mL～1000000 scc/mL为隐性乳腺炎，高于1000000 scc/mL为临床乳腺炎。结果发现体细胞数全年平均为376000 scc/mL，奶牛乳房健康牛只比例为61.3%，可能存在问题牛只比例为17.2%，隐性乳腺炎比例为15.3%、临床乳腺炎比例为6.2%。此外，标准起草组收集了2018年1月至12月上海、山东、安徽等省规模化牧场奶罐奶体细胞数9368份，分析发现，体细胞数小于400,000 scc/mL的占99.3%（</w:t>
      </w:r>
      <w:r>
        <w:rPr>
          <w:rFonts w:hint="eastAsia" w:eastAsia="仿宋"/>
          <w:sz w:val="24"/>
          <w:szCs w:val="24"/>
        </w:rPr>
        <w:t>见下图</w:t>
      </w:r>
      <w:r>
        <w:rPr>
          <w:rFonts w:eastAsia="仿宋"/>
          <w:sz w:val="24"/>
          <w:szCs w:val="24"/>
        </w:rPr>
        <w:t>）。</w:t>
      </w:r>
    </w:p>
    <w:p>
      <w:pPr>
        <w:spacing w:before="156" w:beforeLines="50" w:after="156" w:afterLines="50" w:line="360" w:lineRule="auto"/>
        <w:ind w:firstLine="420" w:firstLineChars="200"/>
        <w:rPr>
          <w:rFonts w:eastAsiaTheme="minorEastAsia"/>
          <w:sz w:val="21"/>
          <w:szCs w:val="21"/>
        </w:rPr>
      </w:pPr>
      <w:r>
        <w:rPr>
          <w:rFonts w:eastAsiaTheme="minorEastAsia"/>
          <w:sz w:val="21"/>
          <w:szCs w:val="21"/>
        </w:rPr>
        <w:drawing>
          <wp:inline distT="0" distB="0" distL="0" distR="0">
            <wp:extent cx="5039995" cy="2553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40000" cy="2554462"/>
                    </a:xfrm>
                    <a:prstGeom prst="rect">
                      <a:avLst/>
                    </a:prstGeom>
                    <a:noFill/>
                  </pic:spPr>
                </pic:pic>
              </a:graphicData>
            </a:graphic>
          </wp:inline>
        </w:drawing>
      </w:r>
    </w:p>
    <w:p>
      <w:pPr>
        <w:spacing w:before="156" w:beforeLines="50" w:after="156" w:afterLines="50" w:line="360" w:lineRule="auto"/>
        <w:jc w:val="center"/>
        <w:rPr>
          <w:rFonts w:eastAsiaTheme="minorEastAsia"/>
          <w:sz w:val="21"/>
          <w:szCs w:val="21"/>
        </w:rPr>
      </w:pPr>
      <w:r>
        <w:rPr>
          <w:rFonts w:eastAsiaTheme="minorEastAsia"/>
          <w:sz w:val="21"/>
          <w:szCs w:val="21"/>
        </w:rPr>
        <w:t>2018年上海、山东、安徽等省规模化牧场奶罐奶体细胞数结果</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标准内容8体细胞数检测</w:t>
      </w:r>
    </w:p>
    <w:p>
      <w:pPr>
        <w:pStyle w:val="33"/>
        <w:tabs>
          <w:tab w:val="center" w:pos="4201"/>
          <w:tab w:val="right" w:leader="dot" w:pos="9298"/>
        </w:tabs>
        <w:spacing w:before="156" w:beforeLines="50" w:after="156" w:afterLines="50" w:line="360" w:lineRule="auto"/>
        <w:ind w:firstLine="560"/>
        <w:rPr>
          <w:rFonts w:ascii="黑体" w:hAnsi="黑体" w:eastAsia="黑体" w:cs="黑体"/>
          <w:sz w:val="24"/>
          <w:szCs w:val="22"/>
        </w:rPr>
      </w:pPr>
      <w:bookmarkStart w:id="6" w:name="_Hlk62256478"/>
      <w:r>
        <w:rPr>
          <w:rFonts w:hint="eastAsia" w:ascii="黑体" w:hAnsi="黑体" w:eastAsia="黑体" w:cs="黑体"/>
          <w:sz w:val="24"/>
          <w:szCs w:val="22"/>
        </w:rPr>
        <w:t>宜每天测定奶罐中乳体细胞数</w:t>
      </w:r>
      <w:bookmarkEnd w:id="6"/>
      <w:r>
        <w:rPr>
          <w:rFonts w:hint="eastAsia" w:ascii="黑体" w:hAnsi="黑体" w:eastAsia="黑体" w:cs="黑体"/>
          <w:sz w:val="24"/>
          <w:szCs w:val="22"/>
        </w:rPr>
        <w:t>，检测方法应符合NY</w:t>
      </w:r>
      <w:r>
        <w:rPr>
          <w:rFonts w:hint="eastAsia" w:ascii="黑体" w:hAnsi="黑体" w:eastAsia="黑体" w:cs="黑体"/>
          <w:sz w:val="24"/>
          <w:szCs w:val="24"/>
        </w:rPr>
        <w:t>/</w:t>
      </w:r>
      <w:r>
        <w:rPr>
          <w:rFonts w:hint="eastAsia" w:ascii="黑体" w:hAnsi="黑体" w:eastAsia="黑体" w:cs="黑体"/>
          <w:sz w:val="24"/>
          <w:szCs w:val="22"/>
        </w:rPr>
        <w:t>T 800规定。</w:t>
      </w:r>
    </w:p>
    <w:p>
      <w:pPr>
        <w:numPr>
          <w:ilvl w:val="255"/>
          <w:numId w:val="0"/>
        </w:numPr>
        <w:spacing w:before="156" w:beforeLines="50" w:after="156" w:afterLines="50" w:line="360" w:lineRule="auto"/>
        <w:ind w:firstLine="482" w:firstLineChars="200"/>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numPr>
          <w:ilvl w:val="255"/>
          <w:numId w:val="0"/>
        </w:numPr>
        <w:spacing w:before="156" w:beforeLines="50" w:after="156" w:afterLines="50" w:line="480" w:lineRule="auto"/>
        <w:ind w:firstLine="480" w:firstLineChars="200"/>
        <w:rPr>
          <w:rFonts w:eastAsia="仿宋"/>
          <w:sz w:val="24"/>
          <w:szCs w:val="22"/>
        </w:rPr>
      </w:pPr>
      <w:r>
        <w:rPr>
          <w:rFonts w:eastAsia="仿宋"/>
          <w:sz w:val="24"/>
          <w:szCs w:val="22"/>
        </w:rPr>
        <w:t>NY</w:t>
      </w:r>
      <w:r>
        <w:rPr>
          <w:rFonts w:eastAsia="仿宋"/>
          <w:sz w:val="24"/>
          <w:szCs w:val="24"/>
        </w:rPr>
        <w:t>/</w:t>
      </w:r>
      <w:r>
        <w:rPr>
          <w:rFonts w:eastAsia="仿宋"/>
          <w:sz w:val="24"/>
          <w:szCs w:val="22"/>
        </w:rPr>
        <w:t>T 800是乳体细胞数检测的行业标准方法，可据此方法检测。</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标准内容9纠偏</w:t>
      </w:r>
    </w:p>
    <w:p>
      <w:pPr>
        <w:pStyle w:val="46"/>
        <w:adjustRightInd w:val="0"/>
        <w:snapToGrid w:val="0"/>
        <w:spacing w:before="156" w:beforeLines="50" w:after="156" w:afterLines="50" w:line="360" w:lineRule="auto"/>
        <w:ind w:firstLine="480" w:firstLineChars="200"/>
        <w:rPr>
          <w:rFonts w:ascii="黑体" w:hAnsi="黑体"/>
          <w:sz w:val="24"/>
          <w:szCs w:val="22"/>
        </w:rPr>
      </w:pPr>
      <w:bookmarkStart w:id="7" w:name="_Hlk56449260"/>
      <w:r>
        <w:rPr>
          <w:rFonts w:ascii="黑体" w:hAnsi="黑体"/>
          <w:sz w:val="24"/>
          <w:szCs w:val="22"/>
        </w:rPr>
        <w:t>当奶罐中乳体细胞数超过400000 scc/mL时，按第4章至第7章的要求逐项检查，并制定纠偏实施方案。</w:t>
      </w:r>
    </w:p>
    <w:bookmarkEnd w:id="7"/>
    <w:p>
      <w:pPr>
        <w:numPr>
          <w:ilvl w:val="255"/>
          <w:numId w:val="0"/>
        </w:numPr>
        <w:spacing w:before="156" w:beforeLines="50" w:after="156" w:afterLines="50" w:line="360" w:lineRule="auto"/>
        <w:ind w:firstLine="482" w:firstLineChars="200"/>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spacing w:before="156" w:beforeLines="50" w:after="156" w:afterLines="50"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1、生牛乳中体细胞数限定的依据及验证</w:t>
      </w:r>
    </w:p>
    <w:p>
      <w:pPr>
        <w:spacing w:before="156" w:beforeLines="50" w:after="156" w:afterLines="50" w:line="480" w:lineRule="auto"/>
        <w:ind w:firstLine="482" w:firstLineChars="200"/>
        <w:jc w:val="both"/>
        <w:rPr>
          <w:rFonts w:eastAsia="仿宋"/>
          <w:sz w:val="24"/>
          <w:szCs w:val="24"/>
        </w:rPr>
      </w:pPr>
      <w:r>
        <w:rPr>
          <w:rFonts w:eastAsia="仿宋"/>
          <w:b/>
          <w:sz w:val="24"/>
          <w:szCs w:val="24"/>
        </w:rPr>
        <w:t>主要国家或地区生牛乳中体细胞数的限量：</w:t>
      </w:r>
      <w:r>
        <w:rPr>
          <w:rFonts w:eastAsia="仿宋"/>
          <w:sz w:val="24"/>
          <w:szCs w:val="24"/>
        </w:rPr>
        <w:t>体细胞数是衡量奶牛健康和生乳质量安全的重要指标，为了保障乳品质量和安全，许多国家对生牛乳中体细胞数规定了限量。不同国家和组织对牛乳中体细胞数的限量不同，欧盟2004年（EC）No. 853文件确定生乳中体细胞数为不超过400000 scc/mL，澳大利亚和新西兰限定生乳中体细胞数为400000 scc/mL，加拿大于2010年将生乳中体细胞数限量由500000 scc/mL提升为400000 scc/mL，美国规定≤750000 scc/mL，而中国台湾CNS3055依据体细胞数对生乳进行了分级：A级</w:t>
      </w:r>
      <w:r>
        <w:rPr>
          <w:rFonts w:eastAsia="仿宋"/>
          <w:bCs/>
          <w:sz w:val="24"/>
          <w:szCs w:val="24"/>
        </w:rPr>
        <w:t>&lt;300000</w:t>
      </w:r>
      <w:r>
        <w:rPr>
          <w:rFonts w:eastAsia="仿宋"/>
          <w:sz w:val="24"/>
          <w:szCs w:val="24"/>
          <w:vertAlign w:val="superscript"/>
        </w:rPr>
        <w:t xml:space="preserve"> </w:t>
      </w:r>
      <w:r>
        <w:rPr>
          <w:rFonts w:eastAsia="仿宋"/>
          <w:sz w:val="24"/>
          <w:szCs w:val="24"/>
        </w:rPr>
        <w:t>scc/mL；B级300000</w:t>
      </w:r>
      <w:r>
        <w:rPr>
          <w:rFonts w:eastAsia="仿宋"/>
          <w:sz w:val="24"/>
          <w:szCs w:val="24"/>
          <w:vertAlign w:val="superscript"/>
        </w:rPr>
        <w:t xml:space="preserve">  </w:t>
      </w:r>
      <w:r>
        <w:rPr>
          <w:rFonts w:eastAsia="仿宋"/>
          <w:sz w:val="24"/>
          <w:szCs w:val="24"/>
        </w:rPr>
        <w:t>scc/mL~ 500000</w:t>
      </w:r>
      <w:r>
        <w:rPr>
          <w:rFonts w:eastAsia="仿宋"/>
          <w:sz w:val="24"/>
          <w:szCs w:val="24"/>
          <w:vertAlign w:val="superscript"/>
        </w:rPr>
        <w:t xml:space="preserve"> </w:t>
      </w:r>
      <w:r>
        <w:rPr>
          <w:rFonts w:eastAsia="仿宋"/>
          <w:sz w:val="24"/>
          <w:szCs w:val="24"/>
        </w:rPr>
        <w:t>scc/mL；C级500000</w:t>
      </w:r>
      <w:r>
        <w:rPr>
          <w:rFonts w:eastAsia="仿宋"/>
          <w:sz w:val="24"/>
          <w:szCs w:val="24"/>
          <w:vertAlign w:val="superscript"/>
        </w:rPr>
        <w:t xml:space="preserve"> </w:t>
      </w:r>
      <w:r>
        <w:rPr>
          <w:rFonts w:eastAsia="仿宋"/>
          <w:sz w:val="24"/>
          <w:szCs w:val="24"/>
        </w:rPr>
        <w:t>scc/mL</w:t>
      </w:r>
      <w:r>
        <w:rPr>
          <w:rFonts w:eastAsia="仿宋"/>
          <w:sz w:val="24"/>
          <w:szCs w:val="24"/>
          <w:vertAlign w:val="superscript"/>
        </w:rPr>
        <w:t xml:space="preserve"> </w:t>
      </w:r>
      <w:r>
        <w:rPr>
          <w:rFonts w:eastAsia="仿宋"/>
          <w:sz w:val="24"/>
          <w:szCs w:val="24"/>
        </w:rPr>
        <w:t>~800000</w:t>
      </w:r>
      <w:r>
        <w:rPr>
          <w:rFonts w:eastAsia="仿宋"/>
          <w:sz w:val="24"/>
          <w:szCs w:val="24"/>
          <w:vertAlign w:val="superscript"/>
        </w:rPr>
        <w:t xml:space="preserve"> </w:t>
      </w:r>
      <w:r>
        <w:rPr>
          <w:rFonts w:eastAsia="仿宋"/>
          <w:sz w:val="24"/>
          <w:szCs w:val="24"/>
        </w:rPr>
        <w:t>scc/mL；D级800000</w:t>
      </w:r>
      <w:r>
        <w:rPr>
          <w:rFonts w:hint="eastAsia" w:eastAsia="仿宋"/>
          <w:sz w:val="24"/>
          <w:szCs w:val="24"/>
          <w:vertAlign w:val="superscript"/>
          <w:lang w:val="en-US" w:eastAsia="zh-CN"/>
        </w:rPr>
        <w:t xml:space="preserve"> </w:t>
      </w:r>
      <w:r>
        <w:rPr>
          <w:rFonts w:eastAsia="仿宋"/>
          <w:sz w:val="24"/>
          <w:szCs w:val="24"/>
        </w:rPr>
        <w:t>scc/mL ~1000000</w:t>
      </w:r>
      <w:r>
        <w:rPr>
          <w:rFonts w:eastAsia="仿宋"/>
          <w:sz w:val="24"/>
          <w:szCs w:val="24"/>
          <w:vertAlign w:val="superscript"/>
        </w:rPr>
        <w:t xml:space="preserve"> </w:t>
      </w:r>
      <w:r>
        <w:rPr>
          <w:rFonts w:eastAsia="仿宋"/>
          <w:sz w:val="24"/>
          <w:szCs w:val="24"/>
        </w:rPr>
        <w:t>scc/mL。但GB 19301—2010《食品安全国家标准 生乳》暂未对体细胞数进行限量。我国和欧盟等国家和地区体细胞数限量如</w:t>
      </w:r>
      <w:r>
        <w:rPr>
          <w:rFonts w:hint="eastAsia" w:eastAsia="仿宋"/>
          <w:sz w:val="24"/>
          <w:szCs w:val="24"/>
          <w:lang w:val="en-US" w:eastAsia="zh-CN"/>
        </w:rPr>
        <w:t>下</w:t>
      </w:r>
      <w:r>
        <w:rPr>
          <w:rFonts w:eastAsia="仿宋"/>
          <w:sz w:val="24"/>
          <w:szCs w:val="24"/>
        </w:rPr>
        <w:t>表所示：</w:t>
      </w:r>
    </w:p>
    <w:p>
      <w:pPr>
        <w:spacing w:before="156" w:beforeLines="50" w:after="156" w:afterLines="50" w:line="480" w:lineRule="auto"/>
        <w:ind w:firstLine="480" w:firstLineChars="200"/>
        <w:jc w:val="both"/>
        <w:rPr>
          <w:rFonts w:eastAsia="仿宋"/>
          <w:sz w:val="24"/>
          <w:szCs w:val="24"/>
        </w:rPr>
      </w:pPr>
    </w:p>
    <w:p>
      <w:pPr>
        <w:spacing w:before="156" w:beforeLines="50" w:after="156" w:afterLines="50" w:line="480" w:lineRule="auto"/>
        <w:ind w:firstLine="480" w:firstLineChars="200"/>
        <w:jc w:val="both"/>
        <w:rPr>
          <w:rFonts w:eastAsia="仿宋"/>
          <w:sz w:val="24"/>
          <w:szCs w:val="24"/>
        </w:rPr>
      </w:pPr>
    </w:p>
    <w:p>
      <w:pPr>
        <w:spacing w:before="156" w:beforeLines="50" w:after="156" w:afterLines="50" w:line="360" w:lineRule="auto"/>
        <w:jc w:val="center"/>
      </w:pPr>
      <w:r>
        <w:rPr>
          <w:bCs/>
          <w:sz w:val="21"/>
          <w:szCs w:val="21"/>
        </w:rPr>
        <w:t>国家、地区或组织生牛乳中体细胞数限量</w:t>
      </w:r>
    </w:p>
    <w:tbl>
      <w:tblPr>
        <w:tblStyle w:val="18"/>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97"/>
        <w:gridCol w:w="3191"/>
        <w:gridCol w:w="955"/>
        <w:gridCol w:w="912"/>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4" w:hRule="atLeast"/>
          <w:tblHeader/>
          <w:jc w:val="center"/>
        </w:trPr>
        <w:tc>
          <w:tcPr>
            <w:tcW w:w="937"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国家、地区或组织</w:t>
            </w:r>
          </w:p>
        </w:tc>
        <w:tc>
          <w:tcPr>
            <w:tcW w:w="1872"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法规名称</w:t>
            </w:r>
          </w:p>
        </w:tc>
        <w:tc>
          <w:tcPr>
            <w:tcW w:w="560"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年代</w:t>
            </w:r>
          </w:p>
        </w:tc>
        <w:tc>
          <w:tcPr>
            <w:tcW w:w="535" w:type="pct"/>
            <w:vAlign w:val="center"/>
          </w:tcPr>
          <w:p>
            <w:pPr>
              <w:spacing w:before="156" w:beforeLines="50" w:after="156" w:afterLines="50" w:line="240" w:lineRule="auto"/>
              <w:jc w:val="center"/>
              <w:rPr>
                <w:bCs/>
                <w:sz w:val="21"/>
                <w:szCs w:val="21"/>
              </w:rPr>
            </w:pPr>
            <w:r>
              <w:rPr>
                <w:bCs/>
                <w:sz w:val="21"/>
                <w:szCs w:val="21"/>
              </w:rPr>
              <w:t>有效性</w:t>
            </w:r>
          </w:p>
        </w:tc>
        <w:tc>
          <w:tcPr>
            <w:tcW w:w="1094"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限量值</w:t>
            </w:r>
          </w:p>
          <w:p>
            <w:pPr>
              <w:spacing w:before="156" w:beforeLines="50" w:after="156" w:afterLines="50" w:line="240" w:lineRule="auto"/>
              <w:jc w:val="center"/>
              <w:rPr>
                <w:bCs/>
                <w:sz w:val="21"/>
                <w:szCs w:val="21"/>
              </w:rPr>
            </w:pPr>
            <w:r>
              <w:rPr>
                <w:rFonts w:hint="eastAsia"/>
                <w:bCs/>
                <w:sz w:val="21"/>
                <w:szCs w:val="21"/>
                <w:lang w:eastAsia="zh-CN"/>
              </w:rPr>
              <w:t>（</w:t>
            </w:r>
            <w:r>
              <w:rPr>
                <w:bCs/>
                <w:sz w:val="21"/>
                <w:szCs w:val="21"/>
              </w:rPr>
              <w:t xml:space="preserve"> scc/mL</w:t>
            </w:r>
            <w:r>
              <w:rPr>
                <w:rFonts w:hint="eastAsia"/>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jc w:val="center"/>
        </w:trPr>
        <w:tc>
          <w:tcPr>
            <w:tcW w:w="937"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中国</w:t>
            </w:r>
          </w:p>
        </w:tc>
        <w:tc>
          <w:tcPr>
            <w:tcW w:w="1872"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 xml:space="preserve">GB </w:t>
            </w:r>
            <w:bookmarkStart w:id="8" w:name="_Hlk507165944"/>
            <w:r>
              <w:rPr>
                <w:bCs/>
                <w:sz w:val="21"/>
                <w:szCs w:val="21"/>
              </w:rPr>
              <w:t>19301-2010</w:t>
            </w:r>
            <w:bookmarkEnd w:id="8"/>
          </w:p>
        </w:tc>
        <w:tc>
          <w:tcPr>
            <w:tcW w:w="560"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2010</w:t>
            </w:r>
          </w:p>
        </w:tc>
        <w:tc>
          <w:tcPr>
            <w:tcW w:w="535" w:type="pct"/>
            <w:vAlign w:val="center"/>
          </w:tcPr>
          <w:p>
            <w:pPr>
              <w:spacing w:before="156" w:beforeLines="50" w:after="156" w:afterLines="50" w:line="240" w:lineRule="auto"/>
              <w:jc w:val="center"/>
              <w:rPr>
                <w:bCs/>
                <w:sz w:val="21"/>
                <w:szCs w:val="21"/>
              </w:rPr>
            </w:pPr>
            <w:r>
              <w:rPr>
                <w:bCs/>
                <w:sz w:val="21"/>
                <w:szCs w:val="21"/>
              </w:rPr>
              <w:t>现行</w:t>
            </w:r>
          </w:p>
        </w:tc>
        <w:tc>
          <w:tcPr>
            <w:tcW w:w="1094"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2" w:hRule="atLeast"/>
          <w:jc w:val="center"/>
        </w:trPr>
        <w:tc>
          <w:tcPr>
            <w:tcW w:w="937" w:type="pct"/>
            <w:shd w:val="clear" w:color="auto" w:fill="auto"/>
            <w:tcMar>
              <w:top w:w="72" w:type="dxa"/>
              <w:left w:w="144" w:type="dxa"/>
              <w:bottom w:w="72" w:type="dxa"/>
              <w:right w:w="144" w:type="dxa"/>
            </w:tcMar>
            <w:vAlign w:val="center"/>
          </w:tcPr>
          <w:p>
            <w:pPr>
              <w:spacing w:before="156" w:beforeLines="50" w:after="156" w:afterLines="50" w:line="240" w:lineRule="auto"/>
              <w:jc w:val="center"/>
              <w:rPr>
                <w:bCs/>
                <w:sz w:val="21"/>
                <w:szCs w:val="21"/>
              </w:rPr>
            </w:pPr>
            <w:r>
              <w:rPr>
                <w:bCs/>
                <w:sz w:val="21"/>
                <w:szCs w:val="21"/>
              </w:rPr>
              <w:t>美国</w:t>
            </w:r>
          </w:p>
        </w:tc>
        <w:tc>
          <w:tcPr>
            <w:tcW w:w="1872"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Grade A Pasteurized Milk Ordinance</w:t>
            </w:r>
          </w:p>
        </w:tc>
        <w:tc>
          <w:tcPr>
            <w:tcW w:w="560"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2015</w:t>
            </w:r>
          </w:p>
        </w:tc>
        <w:tc>
          <w:tcPr>
            <w:tcW w:w="535" w:type="pct"/>
            <w:vAlign w:val="center"/>
          </w:tcPr>
          <w:p>
            <w:pPr>
              <w:spacing w:before="156" w:beforeLines="50" w:after="156" w:afterLines="50" w:line="240" w:lineRule="auto"/>
              <w:jc w:val="center"/>
              <w:rPr>
                <w:bCs/>
                <w:sz w:val="21"/>
                <w:szCs w:val="21"/>
              </w:rPr>
            </w:pPr>
            <w:r>
              <w:rPr>
                <w:bCs/>
                <w:sz w:val="21"/>
                <w:szCs w:val="21"/>
              </w:rPr>
              <w:t>现行</w:t>
            </w:r>
          </w:p>
        </w:tc>
        <w:tc>
          <w:tcPr>
            <w:tcW w:w="1094"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750000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2" w:hRule="atLeast"/>
          <w:jc w:val="center"/>
        </w:trPr>
        <w:tc>
          <w:tcPr>
            <w:tcW w:w="937" w:type="pct"/>
            <w:shd w:val="clear" w:color="auto" w:fill="auto"/>
            <w:tcMar>
              <w:top w:w="72" w:type="dxa"/>
              <w:left w:w="144" w:type="dxa"/>
              <w:bottom w:w="72" w:type="dxa"/>
              <w:right w:w="144" w:type="dxa"/>
            </w:tcMar>
            <w:vAlign w:val="center"/>
          </w:tcPr>
          <w:p>
            <w:pPr>
              <w:spacing w:before="156" w:beforeLines="50" w:after="156" w:afterLines="50" w:line="240" w:lineRule="auto"/>
              <w:jc w:val="center"/>
              <w:rPr>
                <w:bCs/>
                <w:sz w:val="21"/>
                <w:szCs w:val="21"/>
              </w:rPr>
            </w:pPr>
            <w:r>
              <w:rPr>
                <w:bCs/>
                <w:sz w:val="21"/>
                <w:szCs w:val="21"/>
              </w:rPr>
              <w:t>欧盟</w:t>
            </w:r>
          </w:p>
        </w:tc>
        <w:tc>
          <w:tcPr>
            <w:tcW w:w="1872"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(EC) No. 853/2004</w:t>
            </w:r>
          </w:p>
        </w:tc>
        <w:tc>
          <w:tcPr>
            <w:tcW w:w="560"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2004</w:t>
            </w:r>
          </w:p>
        </w:tc>
        <w:tc>
          <w:tcPr>
            <w:tcW w:w="535" w:type="pct"/>
            <w:vAlign w:val="center"/>
          </w:tcPr>
          <w:p>
            <w:pPr>
              <w:spacing w:before="156" w:beforeLines="50" w:after="156" w:afterLines="50" w:line="240" w:lineRule="auto"/>
              <w:jc w:val="center"/>
              <w:rPr>
                <w:bCs/>
                <w:sz w:val="21"/>
                <w:szCs w:val="21"/>
              </w:rPr>
            </w:pPr>
            <w:r>
              <w:rPr>
                <w:bCs/>
                <w:sz w:val="21"/>
                <w:szCs w:val="21"/>
              </w:rPr>
              <w:t>现行</w:t>
            </w:r>
          </w:p>
        </w:tc>
        <w:tc>
          <w:tcPr>
            <w:tcW w:w="1094"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400000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937"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新西兰</w:t>
            </w:r>
          </w:p>
        </w:tc>
        <w:tc>
          <w:tcPr>
            <w:tcW w:w="1872"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DPC2: Animal Products (Dairy) Approved Criteria for Farm Dairies</w:t>
            </w:r>
          </w:p>
        </w:tc>
        <w:tc>
          <w:tcPr>
            <w:tcW w:w="560"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2008</w:t>
            </w:r>
          </w:p>
        </w:tc>
        <w:tc>
          <w:tcPr>
            <w:tcW w:w="535" w:type="pct"/>
            <w:vAlign w:val="center"/>
          </w:tcPr>
          <w:p>
            <w:pPr>
              <w:spacing w:before="156" w:beforeLines="50" w:after="156" w:afterLines="50" w:line="240" w:lineRule="auto"/>
              <w:jc w:val="center"/>
              <w:rPr>
                <w:bCs/>
                <w:sz w:val="21"/>
                <w:szCs w:val="21"/>
              </w:rPr>
            </w:pPr>
            <w:bookmarkStart w:id="9" w:name="OLE_LINK66"/>
            <w:r>
              <w:rPr>
                <w:bCs/>
                <w:sz w:val="21"/>
                <w:szCs w:val="21"/>
              </w:rPr>
              <w:t>现行</w:t>
            </w:r>
            <w:bookmarkEnd w:id="9"/>
          </w:p>
        </w:tc>
        <w:tc>
          <w:tcPr>
            <w:tcW w:w="1094"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bookmarkStart w:id="10" w:name="OLE_LINK33"/>
            <w:r>
              <w:rPr>
                <w:bCs/>
                <w:sz w:val="21"/>
                <w:szCs w:val="21"/>
              </w:rPr>
              <w:t>400000</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937"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加拿大</w:t>
            </w:r>
          </w:p>
        </w:tc>
        <w:tc>
          <w:tcPr>
            <w:tcW w:w="1872"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National Dairy Code Production and Processing Requirements. 7th ed (Part I)</w:t>
            </w:r>
          </w:p>
        </w:tc>
        <w:tc>
          <w:tcPr>
            <w:tcW w:w="560"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2010</w:t>
            </w:r>
          </w:p>
        </w:tc>
        <w:tc>
          <w:tcPr>
            <w:tcW w:w="535" w:type="pct"/>
            <w:vAlign w:val="center"/>
          </w:tcPr>
          <w:p>
            <w:pPr>
              <w:spacing w:before="156" w:beforeLines="50" w:after="156" w:afterLines="50" w:line="240" w:lineRule="auto"/>
              <w:jc w:val="center"/>
              <w:rPr>
                <w:bCs/>
                <w:sz w:val="21"/>
                <w:szCs w:val="21"/>
              </w:rPr>
            </w:pPr>
            <w:r>
              <w:rPr>
                <w:bCs/>
                <w:sz w:val="21"/>
                <w:szCs w:val="21"/>
              </w:rPr>
              <w:t>现行</w:t>
            </w:r>
          </w:p>
        </w:tc>
        <w:tc>
          <w:tcPr>
            <w:tcW w:w="1094"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bookmarkStart w:id="11" w:name="OLE_LINK2"/>
            <w:r>
              <w:rPr>
                <w:bCs/>
                <w:sz w:val="21"/>
                <w:szCs w:val="21"/>
              </w:rPr>
              <w:t>400000</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937"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德国</w:t>
            </w:r>
          </w:p>
        </w:tc>
        <w:tc>
          <w:tcPr>
            <w:tcW w:w="1872"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Verordnung über die Güteprüfung und Bezahlung der Anlieferungsmilch</w:t>
            </w:r>
          </w:p>
        </w:tc>
        <w:tc>
          <w:tcPr>
            <w:tcW w:w="560"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2010</w:t>
            </w:r>
          </w:p>
        </w:tc>
        <w:tc>
          <w:tcPr>
            <w:tcW w:w="535" w:type="pct"/>
            <w:vAlign w:val="center"/>
          </w:tcPr>
          <w:p>
            <w:pPr>
              <w:spacing w:before="156" w:beforeLines="50" w:after="156" w:afterLines="50" w:line="240" w:lineRule="auto"/>
              <w:jc w:val="center"/>
              <w:rPr>
                <w:bCs/>
                <w:sz w:val="21"/>
                <w:szCs w:val="21"/>
              </w:rPr>
            </w:pPr>
            <w:r>
              <w:rPr>
                <w:bCs/>
                <w:sz w:val="21"/>
                <w:szCs w:val="21"/>
              </w:rPr>
              <w:t>现行</w:t>
            </w:r>
          </w:p>
        </w:tc>
        <w:tc>
          <w:tcPr>
            <w:tcW w:w="1094"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S级：</w:t>
            </w:r>
            <w:bookmarkStart w:id="12" w:name="OLE_LINK3"/>
            <w:r>
              <w:rPr>
                <w:bCs/>
                <w:sz w:val="21"/>
                <w:szCs w:val="21"/>
              </w:rPr>
              <w:t>300000</w:t>
            </w:r>
            <w:bookmarkEnd w:id="12"/>
          </w:p>
          <w:p>
            <w:pPr>
              <w:spacing w:before="156" w:beforeLines="50" w:after="156" w:afterLines="50" w:line="240" w:lineRule="auto"/>
              <w:jc w:val="center"/>
              <w:rPr>
                <w:bCs/>
                <w:sz w:val="21"/>
                <w:szCs w:val="21"/>
              </w:rPr>
            </w:pPr>
            <w:r>
              <w:rPr>
                <w:bCs/>
                <w:sz w:val="21"/>
                <w:szCs w:val="21"/>
              </w:rPr>
              <w:t xml:space="preserve">1级、2级：400000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937"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中国台湾</w:t>
            </w:r>
          </w:p>
        </w:tc>
        <w:tc>
          <w:tcPr>
            <w:tcW w:w="1872"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bookmarkStart w:id="13" w:name="OLE_LINK46"/>
            <w:r>
              <w:rPr>
                <w:bCs/>
                <w:sz w:val="21"/>
                <w:szCs w:val="21"/>
              </w:rPr>
              <w:t>CNS 3055-N5092 生乳</w:t>
            </w:r>
            <w:bookmarkEnd w:id="13"/>
          </w:p>
        </w:tc>
        <w:tc>
          <w:tcPr>
            <w:tcW w:w="560"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2015</w:t>
            </w:r>
          </w:p>
        </w:tc>
        <w:tc>
          <w:tcPr>
            <w:tcW w:w="535" w:type="pct"/>
            <w:vAlign w:val="center"/>
          </w:tcPr>
          <w:p>
            <w:pPr>
              <w:spacing w:before="156" w:beforeLines="50" w:after="156" w:afterLines="50" w:line="240" w:lineRule="auto"/>
              <w:jc w:val="center"/>
              <w:rPr>
                <w:bCs/>
                <w:sz w:val="21"/>
                <w:szCs w:val="21"/>
              </w:rPr>
            </w:pPr>
            <w:r>
              <w:rPr>
                <w:bCs/>
                <w:sz w:val="21"/>
                <w:szCs w:val="21"/>
              </w:rPr>
              <w:t>现行</w:t>
            </w:r>
          </w:p>
        </w:tc>
        <w:tc>
          <w:tcPr>
            <w:tcW w:w="1094" w:type="pct"/>
            <w:shd w:val="clear" w:color="auto" w:fill="auto"/>
            <w:tcMar>
              <w:top w:w="10" w:type="dxa"/>
              <w:left w:w="10" w:type="dxa"/>
              <w:bottom w:w="0" w:type="dxa"/>
              <w:right w:w="10" w:type="dxa"/>
            </w:tcMar>
            <w:vAlign w:val="center"/>
          </w:tcPr>
          <w:p>
            <w:pPr>
              <w:spacing w:before="156" w:beforeLines="50" w:after="156" w:afterLines="50" w:line="240" w:lineRule="auto"/>
              <w:jc w:val="center"/>
              <w:rPr>
                <w:bCs/>
                <w:sz w:val="21"/>
                <w:szCs w:val="21"/>
              </w:rPr>
            </w:pPr>
            <w:r>
              <w:rPr>
                <w:bCs/>
                <w:sz w:val="21"/>
                <w:szCs w:val="21"/>
              </w:rPr>
              <w:t xml:space="preserve">A级：&lt;300000 </w:t>
            </w:r>
          </w:p>
          <w:p>
            <w:pPr>
              <w:spacing w:before="156" w:beforeLines="50" w:after="156" w:afterLines="50" w:line="240" w:lineRule="auto"/>
              <w:jc w:val="center"/>
              <w:rPr>
                <w:bCs/>
                <w:sz w:val="21"/>
                <w:szCs w:val="21"/>
              </w:rPr>
            </w:pPr>
            <w:r>
              <w:rPr>
                <w:bCs/>
                <w:sz w:val="21"/>
                <w:szCs w:val="21"/>
              </w:rPr>
              <w:t>B级：300000~ 500000</w:t>
            </w:r>
          </w:p>
          <w:p>
            <w:pPr>
              <w:spacing w:before="156" w:beforeLines="50" w:after="156" w:afterLines="50" w:line="240" w:lineRule="auto"/>
              <w:jc w:val="center"/>
              <w:rPr>
                <w:bCs/>
                <w:sz w:val="21"/>
                <w:szCs w:val="21"/>
              </w:rPr>
            </w:pPr>
            <w:r>
              <w:rPr>
                <w:bCs/>
                <w:sz w:val="21"/>
                <w:szCs w:val="21"/>
              </w:rPr>
              <w:t xml:space="preserve">C级：500000~800000 </w:t>
            </w:r>
          </w:p>
          <w:p>
            <w:pPr>
              <w:spacing w:before="156" w:beforeLines="50" w:after="156" w:afterLines="50" w:line="240" w:lineRule="auto"/>
              <w:jc w:val="center"/>
              <w:rPr>
                <w:bCs/>
                <w:sz w:val="21"/>
                <w:szCs w:val="21"/>
              </w:rPr>
            </w:pPr>
            <w:r>
              <w:rPr>
                <w:bCs/>
                <w:sz w:val="21"/>
                <w:szCs w:val="21"/>
              </w:rPr>
              <w:t xml:space="preserve">D级：800000~1000000 </w:t>
            </w:r>
          </w:p>
        </w:tc>
      </w:tr>
    </w:tbl>
    <w:p>
      <w:pPr>
        <w:spacing w:before="156" w:beforeLines="50" w:after="156" w:afterLines="50" w:line="480" w:lineRule="auto"/>
        <w:ind w:firstLine="482" w:firstLineChars="200"/>
        <w:jc w:val="both"/>
        <w:rPr>
          <w:rFonts w:eastAsia="仿宋"/>
          <w:sz w:val="24"/>
          <w:szCs w:val="24"/>
        </w:rPr>
      </w:pPr>
      <w:r>
        <w:rPr>
          <w:rFonts w:eastAsia="仿宋"/>
          <w:b/>
          <w:sz w:val="24"/>
          <w:szCs w:val="24"/>
        </w:rPr>
        <w:t>我国奶业发展中体细胞数变化趋势：</w:t>
      </w:r>
      <w:r>
        <w:rPr>
          <w:rFonts w:eastAsia="仿宋"/>
          <w:sz w:val="24"/>
          <w:szCs w:val="24"/>
        </w:rPr>
        <w:t>虽然我国暂未对乳体细胞数进行限量，但部分地区及乳品加工企业对生乳中体细胞数进行了要求。早在2000年，上海市农委会同市质监局、市物价局和市卫生局联合发布了《上海市生鲜牛乳质量管理暂行办法》，该办法规定了上海生鲜乳收购检测涉及的“八项指标”，并将体细胞数纳入了按质论价体系。上海市收购生鲜牛乳，当体细胞数在400000 scc/mL～750000 scc/mL时，既不奖励也不减价；超过这一范围按规定分别给予提价或减价。经过上海的按质论价后，上海地区生鲜乳中体细胞数下降明显，从2014年的570000 scc/mL下降到2017年256500 scc/mL。2020中国奶业统计摘要数据显示，从2016年到2020年仅有养殖规模小于100头奶牛的牧场体细胞数高于400000 scc/mL，占牧场数量的0～2.96%，而养殖规模大于100头奶牛的牧场，体细胞数均低于400000 scc/mL。此外，根据标准起草组的项目监测和奶业质量报告表明，2017年-2020年全国生鲜乳体细胞数平均值均低于400000 scc/mL（</w:t>
      </w:r>
      <w:r>
        <w:rPr>
          <w:rFonts w:hint="eastAsia" w:eastAsia="仿宋"/>
          <w:sz w:val="24"/>
          <w:szCs w:val="24"/>
        </w:rPr>
        <w:t>见下图</w:t>
      </w:r>
      <w:r>
        <w:rPr>
          <w:rFonts w:eastAsia="仿宋"/>
          <w:sz w:val="24"/>
          <w:szCs w:val="24"/>
        </w:rPr>
        <w:t>）。另外，标准起草组收集了2017年1月至2019年10月上海、山东、安徽等省规模化牧场13410份奶罐中乳体细胞数的资料统计，生乳中体细胞数总体均值为（200000 ± 77000）scc/mL，其中大于400000 scc/mL的占1.2%，不超过400000 scc/mL的占98.8%；另外，标准起草组研究分析了2016年至2020年全国范围内生乳中体细胞数的分布，发现2018年以来近80%样品中体细胞数小于400000 scc/mL，体细胞数小于400000 scc/mL的样品数呈逐年增加的趋势。2020年农业农村部对1347批次生鲜乳样品进行监测，体细胞数平均值为275300 scc/mL，低于欧盟、美国、新西兰标准，规模化牧场生鲜乳样品的体细胞数平均值为210500 scc/mL，低于全国平均水平（</w:t>
      </w:r>
      <w:r>
        <w:rPr>
          <w:rFonts w:hint="eastAsia" w:eastAsia="仿宋"/>
          <w:sz w:val="24"/>
          <w:szCs w:val="24"/>
        </w:rPr>
        <w:t>见下图</w:t>
      </w:r>
      <w:r>
        <w:rPr>
          <w:rFonts w:eastAsia="仿宋"/>
          <w:sz w:val="24"/>
          <w:szCs w:val="24"/>
        </w:rPr>
        <w:t>）。</w:t>
      </w:r>
    </w:p>
    <w:p>
      <w:pPr>
        <w:spacing w:before="156" w:beforeLines="50" w:after="156" w:afterLines="50" w:line="360" w:lineRule="auto"/>
        <w:jc w:val="center"/>
        <w:rPr>
          <w:rFonts w:eastAsiaTheme="minorEastAsia"/>
          <w:sz w:val="21"/>
          <w:szCs w:val="21"/>
        </w:rPr>
      </w:pPr>
      <w:r>
        <w:rPr>
          <w:rFonts w:eastAsiaTheme="minorEastAsia"/>
          <w:sz w:val="21"/>
          <w:szCs w:val="21"/>
        </w:rPr>
        <w:t>2016-2020年全国不同规模奶牛场体生产性能测定概况</w:t>
      </w:r>
    </w:p>
    <w:tbl>
      <w:tblPr>
        <w:tblStyle w:val="52"/>
        <w:tblW w:w="8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275"/>
        <w:gridCol w:w="993"/>
        <w:gridCol w:w="992"/>
        <w:gridCol w:w="992"/>
        <w:gridCol w:w="992"/>
        <w:gridCol w:w="1255"/>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noWra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eastAsiaTheme="minorEastAsia"/>
                <w:kern w:val="2"/>
                <w:sz w:val="21"/>
                <w:szCs w:val="21"/>
              </w:rPr>
            </w:pPr>
            <w:r>
              <w:rPr>
                <w:rFonts w:eastAsiaTheme="minorEastAsia"/>
                <w:kern w:val="2"/>
                <w:sz w:val="21"/>
                <w:szCs w:val="21"/>
              </w:rPr>
              <w:t>年</w:t>
            </w:r>
          </w:p>
        </w:tc>
        <w:tc>
          <w:tcPr>
            <w:tcW w:w="1275" w:type="dxa"/>
            <w:noWra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eastAsiaTheme="minorEastAsia"/>
                <w:kern w:val="2"/>
                <w:sz w:val="21"/>
                <w:szCs w:val="21"/>
              </w:rPr>
            </w:pPr>
            <w:r>
              <w:rPr>
                <w:rFonts w:eastAsiaTheme="minorEastAsia"/>
                <w:kern w:val="2"/>
                <w:sz w:val="21"/>
                <w:szCs w:val="21"/>
              </w:rPr>
              <w:t>规模</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eastAsiaTheme="minorEastAsia"/>
                <w:kern w:val="2"/>
                <w:sz w:val="21"/>
                <w:szCs w:val="21"/>
              </w:rPr>
            </w:pPr>
            <w:r>
              <w:rPr>
                <w:rFonts w:eastAsiaTheme="minorEastAsia"/>
                <w:kern w:val="2"/>
                <w:sz w:val="21"/>
                <w:szCs w:val="21"/>
              </w:rPr>
              <w:t>参测牛数</w:t>
            </w:r>
          </w:p>
        </w:tc>
        <w:tc>
          <w:tcPr>
            <w:tcW w:w="993" w:type="dxa"/>
            <w:noWra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eastAsiaTheme="minorEastAsia"/>
                <w:kern w:val="2"/>
                <w:sz w:val="21"/>
                <w:szCs w:val="21"/>
              </w:rPr>
            </w:pPr>
            <w:r>
              <w:rPr>
                <w:rFonts w:eastAsiaTheme="minorEastAsia"/>
                <w:kern w:val="2"/>
                <w:sz w:val="21"/>
                <w:szCs w:val="21"/>
              </w:rPr>
              <w:t>牛场数</w:t>
            </w:r>
          </w:p>
        </w:tc>
        <w:tc>
          <w:tcPr>
            <w:tcW w:w="992" w:type="dxa"/>
            <w:noWra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eastAsiaTheme="minorEastAsia"/>
                <w:kern w:val="2"/>
                <w:sz w:val="21"/>
                <w:szCs w:val="21"/>
              </w:rPr>
            </w:pPr>
            <w:r>
              <w:rPr>
                <w:rFonts w:eastAsiaTheme="minorEastAsia"/>
                <w:kern w:val="2"/>
                <w:sz w:val="21"/>
                <w:szCs w:val="21"/>
              </w:rPr>
              <w:t>产奶量</w:t>
            </w:r>
          </w:p>
        </w:tc>
        <w:tc>
          <w:tcPr>
            <w:tcW w:w="992" w:type="dxa"/>
            <w:noWra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eastAsiaTheme="minorEastAsia"/>
                <w:kern w:val="2"/>
                <w:sz w:val="21"/>
                <w:szCs w:val="21"/>
              </w:rPr>
            </w:pPr>
            <w:r>
              <w:rPr>
                <w:rFonts w:eastAsiaTheme="minorEastAsia"/>
                <w:kern w:val="2"/>
                <w:sz w:val="21"/>
                <w:szCs w:val="21"/>
              </w:rPr>
              <w:t>脂肪</w:t>
            </w:r>
          </w:p>
        </w:tc>
        <w:tc>
          <w:tcPr>
            <w:tcW w:w="992" w:type="dxa"/>
            <w:noWra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eastAsiaTheme="minorEastAsia"/>
                <w:kern w:val="2"/>
                <w:sz w:val="21"/>
                <w:szCs w:val="21"/>
              </w:rPr>
            </w:pPr>
            <w:r>
              <w:rPr>
                <w:rFonts w:eastAsiaTheme="minorEastAsia"/>
                <w:kern w:val="2"/>
                <w:sz w:val="21"/>
                <w:szCs w:val="21"/>
              </w:rPr>
              <w:t>蛋白</w:t>
            </w:r>
          </w:p>
        </w:tc>
        <w:tc>
          <w:tcPr>
            <w:tcW w:w="1255" w:type="dxa"/>
            <w:noWra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eastAsiaTheme="minorEastAsia"/>
                <w:kern w:val="2"/>
                <w:sz w:val="21"/>
                <w:szCs w:val="21"/>
              </w:rPr>
            </w:pPr>
            <w:r>
              <w:rPr>
                <w:rFonts w:eastAsiaTheme="minorEastAsia"/>
                <w:kern w:val="2"/>
                <w:sz w:val="21"/>
                <w:szCs w:val="21"/>
              </w:rPr>
              <w:t>体细胞数</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eastAsiaTheme="minorEastAsia"/>
                <w:kern w:val="2"/>
                <w:sz w:val="21"/>
                <w:szCs w:val="21"/>
              </w:rPr>
            </w:pPr>
            <w:r>
              <w:rPr>
                <w:rFonts w:hint="eastAsia" w:eastAsiaTheme="minorEastAsia"/>
                <w:kern w:val="2"/>
                <w:sz w:val="21"/>
                <w:szCs w:val="21"/>
                <w:lang w:eastAsia="zh-CN"/>
              </w:rPr>
              <w:t>（</w:t>
            </w:r>
            <w:r>
              <w:rPr>
                <w:rFonts w:eastAsiaTheme="minorEastAsia"/>
                <w:kern w:val="2"/>
                <w:sz w:val="21"/>
                <w:szCs w:val="21"/>
              </w:rPr>
              <w:t>×10000 scc/mL</w:t>
            </w:r>
            <w:r>
              <w:rPr>
                <w:rFonts w:hint="eastAsia" w:eastAsiaTheme="minorEastAsia"/>
                <w:kern w:val="2"/>
                <w:sz w:val="21"/>
                <w:szCs w:val="21"/>
                <w:lang w:eastAsia="zh-CN"/>
              </w:rPr>
              <w:t>）</w:t>
            </w:r>
          </w:p>
        </w:tc>
        <w:tc>
          <w:tcPr>
            <w:tcW w:w="1231" w:type="dxa"/>
            <w:noWra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eastAsiaTheme="minorEastAsia"/>
                <w:kern w:val="2"/>
                <w:sz w:val="21"/>
                <w:szCs w:val="21"/>
              </w:rPr>
            </w:pPr>
            <w:r>
              <w:rPr>
                <w:rFonts w:eastAsiaTheme="minorEastAsia"/>
                <w:kern w:val="2"/>
                <w:sz w:val="21"/>
                <w:szCs w:val="21"/>
              </w:rPr>
              <w:t>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restart"/>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2016</w:t>
            </w: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&lt;50</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14</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20.7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3.26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3.32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30.9</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0.91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50-99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62</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22.3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3.37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3.31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35.9</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4.02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100-199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277</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24.8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3.55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3.32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31.3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17.95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200-499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593</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26.2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3.70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3.29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29.8</w:t>
            </w:r>
            <w:r>
              <w:rPr>
                <w:rFonts w:eastAsiaTheme="minorEastAsia"/>
                <w:kern w:val="2"/>
                <w:sz w:val="21"/>
                <w:szCs w:val="21"/>
                <w:vertAlign w:val="superscript"/>
              </w:rPr>
              <w:t xml:space="preserve">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38.43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500-999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360</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28.1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3.88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3.27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28.1</w:t>
            </w:r>
            <w:r>
              <w:rPr>
                <w:rFonts w:eastAsiaTheme="minorEastAsia"/>
                <w:kern w:val="2"/>
                <w:sz w:val="21"/>
                <w:szCs w:val="21"/>
                <w:vertAlign w:val="superscript"/>
              </w:rPr>
              <w:t xml:space="preserve">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23.33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≥1000</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237</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29.0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3.87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3.33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30.1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15.36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88" w:type="dxa"/>
            <w:vMerge w:val="restart"/>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2017</w:t>
            </w: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&lt;50</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19</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20.2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3.79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3.31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35.6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1.23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50-99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36</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22.6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3.69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3.33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42.9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100-199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234</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24.9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3.70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3.38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40.0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15.17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200-499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609</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27.1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3.81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3.34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35.1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39.47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500-999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417</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28.4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4.01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3.33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31.5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27.03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≥1000</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296</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29.9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3.87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3.36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25.4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19.18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restart"/>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2018</w:t>
            </w: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&lt;50</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6</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22.3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3.71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3.37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50.6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0.41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50-99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35</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24.6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3.72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3.45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40.8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100-199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171</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25.0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3.79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3.40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37.3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11.76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200-499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546</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27.8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3.88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3.35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31.6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37.55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500-999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387</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29.1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4.01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3.34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29.5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26.62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≥1000</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309</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30.9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3.93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3.37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23.7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21.25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88" w:type="dxa"/>
            <w:vMerge w:val="restart"/>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2019</w:t>
            </w: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&lt;50</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14</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21.8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3.62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3.41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36.1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0.96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50-99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43</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23.3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3.78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3.40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40.1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100-199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133</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25.4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3.83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3.38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34.2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9.15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200-499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471</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28.4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3.88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3.33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29.1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32.39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500-999</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356</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30.4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4.01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3.32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27.2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24.48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≥1000</w:t>
            </w:r>
          </w:p>
        </w:tc>
        <w:tc>
          <w:tcPr>
            <w:tcW w:w="993"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347</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32.2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3.96 </w:t>
            </w:r>
          </w:p>
        </w:tc>
        <w:tc>
          <w:tcPr>
            <w:tcW w:w="992"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3.35 </w:t>
            </w:r>
          </w:p>
        </w:tc>
        <w:tc>
          <w:tcPr>
            <w:tcW w:w="1255"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22.3 </w:t>
            </w:r>
          </w:p>
        </w:tc>
        <w:tc>
          <w:tcPr>
            <w:tcW w:w="1231" w:type="dxa"/>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 xml:space="preserve">23.87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restart"/>
            <w:noWrap/>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2020</w:t>
            </w:r>
          </w:p>
        </w:tc>
        <w:tc>
          <w:tcPr>
            <w:tcW w:w="127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&lt;50</w:t>
            </w:r>
          </w:p>
        </w:tc>
        <w:tc>
          <w:tcPr>
            <w:tcW w:w="993"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11</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18.9</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3.65</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3.52</w:t>
            </w:r>
          </w:p>
        </w:tc>
        <w:tc>
          <w:tcPr>
            <w:tcW w:w="125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63.1</w:t>
            </w:r>
          </w:p>
        </w:tc>
        <w:tc>
          <w:tcPr>
            <w:tcW w:w="1231"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50-99</w:t>
            </w:r>
          </w:p>
        </w:tc>
        <w:tc>
          <w:tcPr>
            <w:tcW w:w="993"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32</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22.9</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3.74</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3.37</w:t>
            </w:r>
          </w:p>
        </w:tc>
        <w:tc>
          <w:tcPr>
            <w:tcW w:w="125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48.8</w:t>
            </w:r>
          </w:p>
        </w:tc>
        <w:tc>
          <w:tcPr>
            <w:tcW w:w="1231"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100-199</w:t>
            </w:r>
          </w:p>
        </w:tc>
        <w:tc>
          <w:tcPr>
            <w:tcW w:w="993"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133</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25.3</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3.73</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3.35</w:t>
            </w:r>
          </w:p>
        </w:tc>
        <w:tc>
          <w:tcPr>
            <w:tcW w:w="125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36.4</w:t>
            </w:r>
          </w:p>
        </w:tc>
        <w:tc>
          <w:tcPr>
            <w:tcW w:w="1231"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200-499</w:t>
            </w:r>
          </w:p>
        </w:tc>
        <w:tc>
          <w:tcPr>
            <w:tcW w:w="993"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422</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28.8</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3.86</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3.34</w:t>
            </w:r>
          </w:p>
        </w:tc>
        <w:tc>
          <w:tcPr>
            <w:tcW w:w="125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28.4</w:t>
            </w:r>
          </w:p>
        </w:tc>
        <w:tc>
          <w:tcPr>
            <w:tcW w:w="1231"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500-999</w:t>
            </w:r>
          </w:p>
        </w:tc>
        <w:tc>
          <w:tcPr>
            <w:tcW w:w="993"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354</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31.3</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3.95</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3.33</w:t>
            </w:r>
          </w:p>
        </w:tc>
        <w:tc>
          <w:tcPr>
            <w:tcW w:w="125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26.9</w:t>
            </w:r>
          </w:p>
        </w:tc>
        <w:tc>
          <w:tcPr>
            <w:tcW w:w="1231"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1000-2999</w:t>
            </w:r>
          </w:p>
        </w:tc>
        <w:tc>
          <w:tcPr>
            <w:tcW w:w="993"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255</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32.4</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3.97</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3.36</w:t>
            </w:r>
          </w:p>
        </w:tc>
        <w:tc>
          <w:tcPr>
            <w:tcW w:w="125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23.6</w:t>
            </w:r>
          </w:p>
        </w:tc>
        <w:tc>
          <w:tcPr>
            <w:tcW w:w="1231"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17.54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8" w:type="dxa"/>
            <w:vMerge w:val="continue"/>
            <w:noWrap/>
          </w:tcPr>
          <w:p>
            <w:pPr>
              <w:spacing w:before="156" w:beforeLines="50" w:after="156" w:afterLines="50" w:line="240" w:lineRule="auto"/>
              <w:jc w:val="center"/>
              <w:rPr>
                <w:rFonts w:eastAsiaTheme="minorEastAsia"/>
                <w:kern w:val="2"/>
                <w:sz w:val="21"/>
                <w:szCs w:val="21"/>
              </w:rPr>
            </w:pPr>
          </w:p>
        </w:tc>
        <w:tc>
          <w:tcPr>
            <w:tcW w:w="127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≥3000</w:t>
            </w:r>
          </w:p>
        </w:tc>
        <w:tc>
          <w:tcPr>
            <w:tcW w:w="993"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85</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34.3</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3.9</w:t>
            </w:r>
          </w:p>
        </w:tc>
        <w:tc>
          <w:tcPr>
            <w:tcW w:w="992"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3.39</w:t>
            </w:r>
          </w:p>
        </w:tc>
        <w:tc>
          <w:tcPr>
            <w:tcW w:w="1255"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21.1</w:t>
            </w:r>
          </w:p>
        </w:tc>
        <w:tc>
          <w:tcPr>
            <w:tcW w:w="1231" w:type="dxa"/>
            <w:noWrap/>
            <w:vAlign w:val="center"/>
          </w:tcPr>
          <w:p>
            <w:pPr>
              <w:spacing w:before="156" w:beforeLines="50" w:after="156" w:afterLines="50" w:line="240" w:lineRule="auto"/>
              <w:jc w:val="center"/>
              <w:rPr>
                <w:rFonts w:eastAsiaTheme="minorEastAsia"/>
                <w:kern w:val="2"/>
                <w:sz w:val="21"/>
                <w:szCs w:val="21"/>
              </w:rPr>
            </w:pPr>
            <w:r>
              <w:rPr>
                <w:rFonts w:eastAsiaTheme="minorEastAsia"/>
                <w:kern w:val="2"/>
                <w:sz w:val="21"/>
                <w:szCs w:val="21"/>
              </w:rPr>
              <w:t>5.85</w:t>
            </w:r>
          </w:p>
        </w:tc>
      </w:tr>
    </w:tbl>
    <w:p>
      <w:pPr>
        <w:spacing w:before="156" w:beforeLines="50" w:after="156" w:afterLines="50" w:line="360" w:lineRule="auto"/>
        <w:ind w:firstLine="400" w:firstLineChars="200"/>
        <w:rPr>
          <w:rFonts w:eastAsiaTheme="minorEastAsia"/>
          <w:sz w:val="20"/>
          <w:szCs w:val="20"/>
        </w:rPr>
      </w:pPr>
      <w:r>
        <w:rPr>
          <w:rFonts w:eastAsiaTheme="minorEastAsia"/>
          <w:sz w:val="20"/>
          <w:szCs w:val="20"/>
        </w:rPr>
        <w:t>注：数据来源于2021中国奶业统计摘要</w:t>
      </w:r>
    </w:p>
    <w:p>
      <w:pPr>
        <w:spacing w:before="156" w:beforeLines="50" w:after="156" w:afterLines="50" w:line="360" w:lineRule="auto"/>
        <w:ind w:firstLine="420" w:firstLineChars="200"/>
        <w:jc w:val="center"/>
        <w:rPr>
          <w:rFonts w:eastAsiaTheme="minorEastAsia"/>
          <w:sz w:val="21"/>
          <w:szCs w:val="21"/>
        </w:rPr>
      </w:pPr>
      <w:r>
        <w:rPr>
          <w:rFonts w:eastAsiaTheme="minorEastAsia"/>
          <w:sz w:val="21"/>
          <w:szCs w:val="21"/>
        </w:rPr>
        <w:t>奶罐奶体细胞数分布分析</w:t>
      </w:r>
    </w:p>
    <w:tbl>
      <w:tblPr>
        <w:tblStyle w:val="19"/>
        <w:tblW w:w="84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6"/>
        <w:gridCol w:w="1327"/>
        <w:gridCol w:w="1327"/>
        <w:gridCol w:w="1327"/>
        <w:gridCol w:w="1327"/>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806" w:type="dxa"/>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eastAsiaTheme="minorEastAsia"/>
                <w:sz w:val="21"/>
                <w:szCs w:val="21"/>
              </w:rPr>
            </w:pPr>
            <w:r>
              <w:rPr>
                <w:rFonts w:eastAsiaTheme="minorEastAsia"/>
                <w:sz w:val="21"/>
                <w:szCs w:val="21"/>
              </w:rPr>
              <w:t>体细胞数</w:t>
            </w:r>
          </w:p>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eastAsiaTheme="minorEastAsia"/>
                <w:sz w:val="21"/>
                <w:szCs w:val="21"/>
              </w:rPr>
            </w:pPr>
            <w:r>
              <w:rPr>
                <w:rFonts w:hint="eastAsia" w:eastAsiaTheme="minorEastAsia"/>
                <w:sz w:val="21"/>
                <w:szCs w:val="21"/>
                <w:lang w:eastAsia="zh-CN"/>
              </w:rPr>
              <w:t>（</w:t>
            </w:r>
            <w:r>
              <w:rPr>
                <w:rFonts w:eastAsiaTheme="minorEastAsia"/>
                <w:sz w:val="21"/>
                <w:szCs w:val="21"/>
              </w:rPr>
              <w:t>×10000 scc/mL</w:t>
            </w:r>
            <w:r>
              <w:rPr>
                <w:rFonts w:hint="eastAsia" w:eastAsiaTheme="minorEastAsia"/>
                <w:sz w:val="21"/>
                <w:szCs w:val="21"/>
                <w:lang w:eastAsia="zh-CN"/>
              </w:rPr>
              <w:t>）</w:t>
            </w:r>
          </w:p>
        </w:tc>
        <w:tc>
          <w:tcPr>
            <w:tcW w:w="1327" w:type="dxa"/>
            <w:noWrap/>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eastAsiaTheme="minorEastAsia"/>
                <w:sz w:val="21"/>
                <w:szCs w:val="21"/>
              </w:rPr>
            </w:pPr>
            <w:r>
              <w:rPr>
                <w:sz w:val="21"/>
                <w:szCs w:val="21"/>
              </w:rPr>
              <w:t>＞</w:t>
            </w:r>
            <w:r>
              <w:rPr>
                <w:rFonts w:eastAsiaTheme="minorEastAsia"/>
                <w:sz w:val="21"/>
                <w:szCs w:val="21"/>
              </w:rPr>
              <w:t>40</w:t>
            </w:r>
          </w:p>
        </w:tc>
        <w:tc>
          <w:tcPr>
            <w:tcW w:w="1327" w:type="dxa"/>
            <w:noWrap/>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eastAsiaTheme="minorEastAsia"/>
                <w:sz w:val="21"/>
                <w:szCs w:val="21"/>
              </w:rPr>
            </w:pPr>
            <w:r>
              <w:rPr>
                <w:rFonts w:eastAsiaTheme="minorEastAsia"/>
                <w:sz w:val="21"/>
                <w:szCs w:val="21"/>
              </w:rPr>
              <w:t>30～40</w:t>
            </w:r>
          </w:p>
        </w:tc>
        <w:tc>
          <w:tcPr>
            <w:tcW w:w="1327" w:type="dxa"/>
            <w:noWrap/>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eastAsiaTheme="minorEastAsia"/>
                <w:sz w:val="21"/>
                <w:szCs w:val="21"/>
              </w:rPr>
            </w:pPr>
            <w:r>
              <w:rPr>
                <w:rFonts w:eastAsiaTheme="minorEastAsia"/>
                <w:sz w:val="21"/>
                <w:szCs w:val="21"/>
              </w:rPr>
              <w:t>20～30</w:t>
            </w:r>
          </w:p>
        </w:tc>
        <w:tc>
          <w:tcPr>
            <w:tcW w:w="1327" w:type="dxa"/>
            <w:noWrap/>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eastAsiaTheme="minorEastAsia"/>
                <w:sz w:val="21"/>
                <w:szCs w:val="21"/>
              </w:rPr>
            </w:pPr>
            <w:r>
              <w:rPr>
                <w:rFonts w:eastAsiaTheme="minorEastAsia"/>
                <w:sz w:val="21"/>
                <w:szCs w:val="21"/>
              </w:rPr>
              <w:t>10～20</w:t>
            </w:r>
          </w:p>
        </w:tc>
        <w:tc>
          <w:tcPr>
            <w:tcW w:w="1328" w:type="dxa"/>
            <w:noWrap/>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eastAsiaTheme="minorEastAsia"/>
                <w:sz w:val="21"/>
                <w:szCs w:val="21"/>
              </w:rPr>
            </w:pPr>
            <w:r>
              <w:rPr>
                <w:rFonts w:eastAsiaTheme="minorEastAsia"/>
                <w:sz w:val="21"/>
                <w:szCs w:val="21"/>
              </w:rPr>
              <w:t>10&lt;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806" w:type="dxa"/>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样品数量</w:t>
            </w:r>
          </w:p>
        </w:tc>
        <w:tc>
          <w:tcPr>
            <w:tcW w:w="1327"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155</w:t>
            </w:r>
          </w:p>
        </w:tc>
        <w:tc>
          <w:tcPr>
            <w:tcW w:w="1327"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992</w:t>
            </w:r>
          </w:p>
        </w:tc>
        <w:tc>
          <w:tcPr>
            <w:tcW w:w="1327"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4753</w:t>
            </w:r>
          </w:p>
        </w:tc>
        <w:tc>
          <w:tcPr>
            <w:tcW w:w="1327"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6719</w:t>
            </w:r>
          </w:p>
        </w:tc>
        <w:tc>
          <w:tcPr>
            <w:tcW w:w="1328"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806" w:type="dxa"/>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占比</w:t>
            </w:r>
          </w:p>
        </w:tc>
        <w:tc>
          <w:tcPr>
            <w:tcW w:w="1327"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 xml:space="preserve">0.012 </w:t>
            </w:r>
          </w:p>
        </w:tc>
        <w:tc>
          <w:tcPr>
            <w:tcW w:w="1327"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 xml:space="preserve">0.074 </w:t>
            </w:r>
          </w:p>
        </w:tc>
        <w:tc>
          <w:tcPr>
            <w:tcW w:w="1327"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 xml:space="preserve">0.354 </w:t>
            </w:r>
          </w:p>
        </w:tc>
        <w:tc>
          <w:tcPr>
            <w:tcW w:w="1327"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 xml:space="preserve">0.501 </w:t>
            </w:r>
          </w:p>
        </w:tc>
        <w:tc>
          <w:tcPr>
            <w:tcW w:w="1328"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 xml:space="preserve">0.059 </w:t>
            </w:r>
          </w:p>
        </w:tc>
      </w:tr>
    </w:tbl>
    <w:p>
      <w:pPr>
        <w:spacing w:before="156" w:beforeLines="50" w:after="156" w:afterLines="50" w:line="360" w:lineRule="auto"/>
        <w:ind w:firstLine="420" w:firstLineChars="200"/>
        <w:jc w:val="center"/>
        <w:rPr>
          <w:rFonts w:eastAsiaTheme="minorEastAsia"/>
          <w:sz w:val="21"/>
          <w:szCs w:val="21"/>
        </w:rPr>
      </w:pPr>
      <w:r>
        <w:rPr>
          <w:rFonts w:eastAsiaTheme="minorEastAsia"/>
          <w:sz w:val="21"/>
          <w:szCs w:val="21"/>
        </w:rPr>
        <w:t>2016</w:t>
      </w:r>
      <w:r>
        <w:rPr>
          <w:rFonts w:hint="eastAsia" w:eastAsiaTheme="minorEastAsia"/>
          <w:sz w:val="21"/>
          <w:szCs w:val="21"/>
        </w:rPr>
        <w:t>-</w:t>
      </w:r>
      <w:r>
        <w:rPr>
          <w:rFonts w:eastAsiaTheme="minorEastAsia"/>
          <w:sz w:val="21"/>
          <w:szCs w:val="21"/>
        </w:rPr>
        <w:t>2020</w:t>
      </w:r>
      <w:r>
        <w:rPr>
          <w:rFonts w:hint="eastAsia" w:eastAsiaTheme="minorEastAsia"/>
          <w:sz w:val="21"/>
          <w:szCs w:val="21"/>
        </w:rPr>
        <w:t>年生牛乳</w:t>
      </w:r>
      <w:r>
        <w:rPr>
          <w:rFonts w:eastAsiaTheme="minorEastAsia"/>
          <w:sz w:val="21"/>
          <w:szCs w:val="21"/>
        </w:rPr>
        <w:t>体细胞数</w:t>
      </w:r>
      <w:r>
        <w:rPr>
          <w:rFonts w:hint="eastAsia" w:eastAsiaTheme="minorEastAsia"/>
          <w:sz w:val="21"/>
          <w:szCs w:val="21"/>
        </w:rPr>
        <w:t>占比</w:t>
      </w:r>
      <w:r>
        <w:rPr>
          <w:rFonts w:eastAsiaTheme="minorEastAsia"/>
          <w:sz w:val="21"/>
          <w:szCs w:val="21"/>
        </w:rPr>
        <w:t>分析</w:t>
      </w:r>
    </w:p>
    <w:tbl>
      <w:tblPr>
        <w:tblStyle w:val="19"/>
        <w:tblW w:w="86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92"/>
        <w:gridCol w:w="993"/>
        <w:gridCol w:w="992"/>
        <w:gridCol w:w="992"/>
        <w:gridCol w:w="992"/>
        <w:gridCol w:w="993"/>
        <w:gridCol w:w="850"/>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709" w:type="dxa"/>
            <w:vMerge w:val="restart"/>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eastAsiaTheme="minorEastAsia"/>
                <w:sz w:val="21"/>
                <w:szCs w:val="21"/>
              </w:rPr>
            </w:pPr>
            <w:r>
              <w:rPr>
                <w:rFonts w:eastAsiaTheme="minorEastAsia"/>
                <w:sz w:val="21"/>
                <w:szCs w:val="21"/>
              </w:rPr>
              <w:t>年</w:t>
            </w:r>
            <w:r>
              <w:rPr>
                <w:rFonts w:hint="eastAsia" w:eastAsiaTheme="minorEastAsia"/>
                <w:sz w:val="21"/>
                <w:szCs w:val="21"/>
                <w:lang w:val="en-US" w:eastAsia="zh-CN"/>
              </w:rPr>
              <w:t>/</w:t>
            </w:r>
            <w:r>
              <w:rPr>
                <w:rFonts w:eastAsiaTheme="minorEastAsia"/>
                <w:sz w:val="21"/>
                <w:szCs w:val="21"/>
              </w:rPr>
              <w:t>%</w:t>
            </w:r>
          </w:p>
        </w:tc>
        <w:tc>
          <w:tcPr>
            <w:tcW w:w="7907" w:type="dxa"/>
            <w:gridSpan w:val="8"/>
            <w:noWrap/>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eastAsiaTheme="minorEastAsia"/>
                <w:sz w:val="21"/>
                <w:szCs w:val="21"/>
              </w:rPr>
            </w:pPr>
            <w:r>
              <w:rPr>
                <w:rFonts w:eastAsiaTheme="minorEastAsia"/>
                <w:sz w:val="21"/>
                <w:szCs w:val="21"/>
              </w:rPr>
              <w:t>体细胞数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eastAsiaTheme="minorEastAsia"/>
                <w:sz w:val="21"/>
                <w:szCs w:val="21"/>
              </w:rPr>
            </w:pPr>
            <w:r>
              <w:rPr>
                <w:rFonts w:eastAsiaTheme="minorEastAsia"/>
                <w:sz w:val="21"/>
                <w:szCs w:val="21"/>
              </w:rPr>
              <w:t>（×10000 scc/mL）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709" w:type="dxa"/>
            <w:vMerge w:val="continue"/>
          </w:tcPr>
          <w:p>
            <w:pPr>
              <w:widowControl w:val="0"/>
              <w:spacing w:before="156" w:beforeLines="50" w:after="156" w:afterLines="50"/>
              <w:ind w:firstLine="420" w:firstLineChars="200"/>
              <w:jc w:val="both"/>
              <w:rPr>
                <w:rFonts w:eastAsiaTheme="minorEastAsia"/>
                <w:sz w:val="21"/>
                <w:szCs w:val="21"/>
              </w:rPr>
            </w:pP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30≤</w:t>
            </w:r>
          </w:p>
        </w:tc>
        <w:tc>
          <w:tcPr>
            <w:tcW w:w="993"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40≤</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50≤</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60≤</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70≤</w:t>
            </w:r>
          </w:p>
        </w:tc>
        <w:tc>
          <w:tcPr>
            <w:tcW w:w="993"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75≤</w:t>
            </w:r>
          </w:p>
        </w:tc>
        <w:tc>
          <w:tcPr>
            <w:tcW w:w="850"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100≤</w:t>
            </w:r>
          </w:p>
        </w:tc>
        <w:tc>
          <w:tcPr>
            <w:tcW w:w="1103" w:type="dxa"/>
          </w:tcPr>
          <w:p>
            <w:pPr>
              <w:widowControl w:val="0"/>
              <w:spacing w:before="156" w:beforeLines="50" w:after="156" w:afterLines="50"/>
              <w:ind w:firstLine="0" w:firstLineChars="0"/>
              <w:jc w:val="center"/>
              <w:rPr>
                <w:rFonts w:eastAsiaTheme="minorEastAsia"/>
                <w:sz w:val="21"/>
                <w:szCs w:val="21"/>
              </w:rPr>
            </w:pPr>
            <w:r>
              <w:rPr>
                <w:sz w:val="21"/>
                <w:szCs w:val="21"/>
              </w:rPr>
              <w:t>&gt;</w:t>
            </w:r>
            <w:r>
              <w:rPr>
                <w:rFonts w:eastAsiaTheme="minorEastAsia"/>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709" w:type="dxa"/>
          </w:tcPr>
          <w:p>
            <w:pPr>
              <w:widowControl/>
              <w:spacing w:before="156" w:beforeLines="50" w:after="156" w:afterLines="50"/>
              <w:ind w:firstLine="0" w:firstLineChars="0"/>
              <w:jc w:val="left"/>
              <w:rPr>
                <w:rFonts w:eastAsiaTheme="minorEastAsia"/>
                <w:sz w:val="21"/>
                <w:szCs w:val="21"/>
              </w:rPr>
            </w:pPr>
            <w:r>
              <w:rPr>
                <w:rFonts w:eastAsiaTheme="minorEastAsia"/>
                <w:sz w:val="21"/>
                <w:szCs w:val="21"/>
              </w:rPr>
              <w:t>2016</w:t>
            </w:r>
          </w:p>
        </w:tc>
        <w:tc>
          <w:tcPr>
            <w:tcW w:w="992"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45.37</w:t>
            </w:r>
          </w:p>
        </w:tc>
        <w:tc>
          <w:tcPr>
            <w:tcW w:w="993"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63.03</w:t>
            </w:r>
          </w:p>
        </w:tc>
        <w:tc>
          <w:tcPr>
            <w:tcW w:w="992"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71.62</w:t>
            </w:r>
          </w:p>
        </w:tc>
        <w:tc>
          <w:tcPr>
            <w:tcW w:w="992"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77.21</w:t>
            </w:r>
          </w:p>
        </w:tc>
        <w:tc>
          <w:tcPr>
            <w:tcW w:w="992"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80.66</w:t>
            </w:r>
          </w:p>
        </w:tc>
        <w:tc>
          <w:tcPr>
            <w:tcW w:w="993"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81.77</w:t>
            </w:r>
          </w:p>
        </w:tc>
        <w:tc>
          <w:tcPr>
            <w:tcW w:w="850"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86.30</w:t>
            </w:r>
          </w:p>
        </w:tc>
        <w:tc>
          <w:tcPr>
            <w:tcW w:w="1103"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709" w:type="dxa"/>
          </w:tcPr>
          <w:p>
            <w:pPr>
              <w:widowControl/>
              <w:spacing w:before="156" w:beforeLines="50" w:after="156" w:afterLines="50"/>
              <w:ind w:firstLine="0" w:firstLineChars="0"/>
              <w:jc w:val="left"/>
              <w:rPr>
                <w:rFonts w:eastAsiaTheme="minorEastAsia"/>
                <w:sz w:val="21"/>
                <w:szCs w:val="21"/>
              </w:rPr>
            </w:pPr>
            <w:r>
              <w:rPr>
                <w:rFonts w:eastAsiaTheme="minorEastAsia"/>
                <w:sz w:val="21"/>
                <w:szCs w:val="21"/>
              </w:rPr>
              <w:t>2017</w:t>
            </w:r>
          </w:p>
        </w:tc>
        <w:tc>
          <w:tcPr>
            <w:tcW w:w="992"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60.12</w:t>
            </w:r>
          </w:p>
        </w:tc>
        <w:tc>
          <w:tcPr>
            <w:tcW w:w="993"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75.72</w:t>
            </w:r>
          </w:p>
        </w:tc>
        <w:tc>
          <w:tcPr>
            <w:tcW w:w="992"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84.32</w:t>
            </w:r>
          </w:p>
        </w:tc>
        <w:tc>
          <w:tcPr>
            <w:tcW w:w="992"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89.00</w:t>
            </w:r>
          </w:p>
        </w:tc>
        <w:tc>
          <w:tcPr>
            <w:tcW w:w="992" w:type="dxa"/>
            <w:noWrap/>
          </w:tcPr>
          <w:p>
            <w:pPr>
              <w:widowControl/>
              <w:spacing w:before="156" w:beforeLines="50" w:after="156" w:afterLines="50"/>
              <w:ind w:firstLine="0" w:firstLineChars="0"/>
              <w:jc w:val="center"/>
              <w:rPr>
                <w:rFonts w:eastAsiaTheme="minorEastAsia"/>
                <w:sz w:val="21"/>
                <w:szCs w:val="21"/>
              </w:rPr>
            </w:pPr>
            <w:r>
              <w:rPr>
                <w:rFonts w:eastAsiaTheme="minorEastAsia"/>
                <w:sz w:val="21"/>
                <w:szCs w:val="21"/>
              </w:rPr>
              <w:t>92.11</w:t>
            </w:r>
          </w:p>
        </w:tc>
        <w:tc>
          <w:tcPr>
            <w:tcW w:w="993"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93.31</w:t>
            </w:r>
          </w:p>
        </w:tc>
        <w:tc>
          <w:tcPr>
            <w:tcW w:w="850"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96.81</w:t>
            </w:r>
          </w:p>
        </w:tc>
        <w:tc>
          <w:tcPr>
            <w:tcW w:w="1103"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709" w:type="dxa"/>
          </w:tcPr>
          <w:p>
            <w:pPr>
              <w:widowControl w:val="0"/>
              <w:spacing w:before="156" w:beforeLines="50" w:after="156" w:afterLines="50"/>
              <w:ind w:firstLine="0" w:firstLineChars="0"/>
              <w:jc w:val="both"/>
              <w:rPr>
                <w:rFonts w:eastAsiaTheme="minorEastAsia"/>
                <w:sz w:val="21"/>
                <w:szCs w:val="21"/>
              </w:rPr>
            </w:pPr>
            <w:r>
              <w:rPr>
                <w:rFonts w:eastAsiaTheme="minorEastAsia"/>
                <w:sz w:val="21"/>
                <w:szCs w:val="21"/>
              </w:rPr>
              <w:t>2018</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66.08</w:t>
            </w:r>
          </w:p>
        </w:tc>
        <w:tc>
          <w:tcPr>
            <w:tcW w:w="993"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79.90</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87.42</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91.18</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93.45</w:t>
            </w:r>
          </w:p>
        </w:tc>
        <w:tc>
          <w:tcPr>
            <w:tcW w:w="993"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94.33</w:t>
            </w:r>
          </w:p>
        </w:tc>
        <w:tc>
          <w:tcPr>
            <w:tcW w:w="850"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96.94</w:t>
            </w:r>
          </w:p>
        </w:tc>
        <w:tc>
          <w:tcPr>
            <w:tcW w:w="1103"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709" w:type="dxa"/>
          </w:tcPr>
          <w:p>
            <w:pPr>
              <w:widowControl w:val="0"/>
              <w:spacing w:before="156" w:beforeLines="50" w:after="156" w:afterLines="50"/>
              <w:ind w:firstLine="0" w:firstLineChars="0"/>
              <w:jc w:val="both"/>
              <w:rPr>
                <w:rFonts w:eastAsiaTheme="minorEastAsia"/>
                <w:sz w:val="21"/>
                <w:szCs w:val="21"/>
              </w:rPr>
            </w:pPr>
            <w:r>
              <w:rPr>
                <w:rFonts w:eastAsiaTheme="minorEastAsia"/>
                <w:sz w:val="21"/>
                <w:szCs w:val="21"/>
              </w:rPr>
              <w:t>2019</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72.28</w:t>
            </w:r>
          </w:p>
        </w:tc>
        <w:tc>
          <w:tcPr>
            <w:tcW w:w="993"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86.45</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92.18</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94.83</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96.16</w:t>
            </w:r>
          </w:p>
        </w:tc>
        <w:tc>
          <w:tcPr>
            <w:tcW w:w="993"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96.37</w:t>
            </w:r>
          </w:p>
        </w:tc>
        <w:tc>
          <w:tcPr>
            <w:tcW w:w="850"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98.32</w:t>
            </w:r>
          </w:p>
        </w:tc>
        <w:tc>
          <w:tcPr>
            <w:tcW w:w="1103"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709" w:type="dxa"/>
          </w:tcPr>
          <w:p>
            <w:pPr>
              <w:widowControl w:val="0"/>
              <w:spacing w:before="156" w:beforeLines="50" w:after="156" w:afterLines="50"/>
              <w:ind w:firstLine="0" w:firstLineChars="0"/>
              <w:jc w:val="left"/>
              <w:rPr>
                <w:rFonts w:eastAsiaTheme="minorEastAsia"/>
                <w:sz w:val="21"/>
                <w:szCs w:val="21"/>
              </w:rPr>
            </w:pPr>
            <w:r>
              <w:rPr>
                <w:rFonts w:eastAsiaTheme="minorEastAsia"/>
                <w:sz w:val="21"/>
                <w:szCs w:val="21"/>
              </w:rPr>
              <w:t>2020</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66.73</w:t>
            </w:r>
          </w:p>
        </w:tc>
        <w:tc>
          <w:tcPr>
            <w:tcW w:w="993"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81.91</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90.11</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94.17</w:t>
            </w:r>
          </w:p>
        </w:tc>
        <w:tc>
          <w:tcPr>
            <w:tcW w:w="992" w:type="dxa"/>
            <w:noWrap/>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96.03</w:t>
            </w:r>
          </w:p>
        </w:tc>
        <w:tc>
          <w:tcPr>
            <w:tcW w:w="993"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97.18</w:t>
            </w:r>
          </w:p>
        </w:tc>
        <w:tc>
          <w:tcPr>
            <w:tcW w:w="850"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99.21</w:t>
            </w:r>
          </w:p>
        </w:tc>
        <w:tc>
          <w:tcPr>
            <w:tcW w:w="1103" w:type="dxa"/>
          </w:tcPr>
          <w:p>
            <w:pPr>
              <w:widowControl w:val="0"/>
              <w:spacing w:before="156" w:beforeLines="50" w:after="156" w:afterLines="50"/>
              <w:ind w:firstLine="0" w:firstLineChars="0"/>
              <w:jc w:val="center"/>
              <w:rPr>
                <w:rFonts w:eastAsiaTheme="minorEastAsia"/>
                <w:sz w:val="21"/>
                <w:szCs w:val="21"/>
              </w:rPr>
            </w:pPr>
            <w:r>
              <w:rPr>
                <w:rFonts w:eastAsiaTheme="minorEastAsia"/>
                <w:sz w:val="21"/>
                <w:szCs w:val="21"/>
              </w:rPr>
              <w:t>0.79</w:t>
            </w:r>
          </w:p>
        </w:tc>
      </w:tr>
    </w:tbl>
    <w:p>
      <w:pPr>
        <w:spacing w:before="156" w:beforeLines="50" w:after="156" w:afterLines="50" w:line="360" w:lineRule="auto"/>
        <w:ind w:firstLine="420" w:firstLineChars="200"/>
        <w:rPr>
          <w:rFonts w:eastAsiaTheme="minorEastAsia"/>
          <w:sz w:val="21"/>
          <w:szCs w:val="21"/>
        </w:rPr>
      </w:pPr>
    </w:p>
    <w:p>
      <w:pPr>
        <w:spacing w:before="156" w:beforeLines="50" w:after="156" w:afterLines="50" w:line="360" w:lineRule="auto"/>
        <w:ind w:firstLine="420" w:firstLineChars="200"/>
        <w:jc w:val="center"/>
        <w:rPr>
          <w:rFonts w:eastAsiaTheme="minorEastAsia"/>
          <w:sz w:val="21"/>
          <w:szCs w:val="21"/>
        </w:rPr>
      </w:pPr>
      <w:r>
        <w:rPr>
          <w:rFonts w:eastAsiaTheme="minorEastAsia"/>
          <w:sz w:val="21"/>
          <w:szCs w:val="21"/>
        </w:rPr>
        <w:drawing>
          <wp:anchor distT="0" distB="0" distL="0" distR="0" simplePos="0" relativeHeight="251660288" behindDoc="0" locked="0" layoutInCell="1" allowOverlap="1">
            <wp:simplePos x="0" y="0"/>
            <wp:positionH relativeFrom="column">
              <wp:posOffset>21590</wp:posOffset>
            </wp:positionH>
            <wp:positionV relativeFrom="paragraph">
              <wp:posOffset>29845</wp:posOffset>
            </wp:positionV>
            <wp:extent cx="5346065" cy="3081020"/>
            <wp:effectExtent l="0" t="0" r="6985" b="5080"/>
            <wp:wrapTopAndBottom/>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46065" cy="3081020"/>
                    </a:xfrm>
                    <a:prstGeom prst="rect">
                      <a:avLst/>
                    </a:prstGeom>
                    <a:noFill/>
                  </pic:spPr>
                </pic:pic>
              </a:graphicData>
            </a:graphic>
          </wp:anchor>
        </w:drawing>
      </w:r>
      <w:r>
        <w:rPr>
          <w:rFonts w:hint="eastAsia" w:eastAsiaTheme="minorEastAsia"/>
          <w:sz w:val="21"/>
          <w:szCs w:val="21"/>
        </w:rPr>
        <w:t>2017年-2020年全国生鲜乳体细胞数平均值变化</w:t>
      </w:r>
    </w:p>
    <w:p>
      <w:pPr>
        <w:spacing w:before="156" w:beforeLines="50" w:after="156" w:afterLines="50" w:line="360" w:lineRule="auto"/>
        <w:ind w:firstLine="420" w:firstLineChars="200"/>
        <w:rPr>
          <w:rFonts w:eastAsiaTheme="minorEastAsia"/>
          <w:sz w:val="21"/>
          <w:szCs w:val="21"/>
        </w:rPr>
      </w:pPr>
      <w:r>
        <w:rPr>
          <w:rFonts w:eastAsiaTheme="minorEastAsia"/>
          <w:sz w:val="21"/>
          <w:szCs w:val="21"/>
        </w:rPr>
        <w:drawing>
          <wp:inline distT="0" distB="0" distL="0" distR="0">
            <wp:extent cx="5083810" cy="28670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83810" cy="2867025"/>
                    </a:xfrm>
                    <a:prstGeom prst="rect">
                      <a:avLst/>
                    </a:prstGeom>
                    <a:noFill/>
                  </pic:spPr>
                </pic:pic>
              </a:graphicData>
            </a:graphic>
          </wp:inline>
        </w:drawing>
      </w:r>
    </w:p>
    <w:p>
      <w:pPr>
        <w:spacing w:before="156" w:beforeLines="50" w:after="156" w:afterLines="50" w:line="360" w:lineRule="auto"/>
        <w:ind w:firstLine="420" w:firstLineChars="200"/>
        <w:rPr>
          <w:rFonts w:eastAsiaTheme="minorEastAsia"/>
          <w:sz w:val="21"/>
          <w:szCs w:val="21"/>
        </w:rPr>
      </w:pPr>
      <w:r>
        <w:rPr>
          <w:rFonts w:eastAsiaTheme="minorEastAsia"/>
          <w:sz w:val="21"/>
          <w:szCs w:val="21"/>
        </w:rPr>
        <w:t>2020</w:t>
      </w:r>
      <w:r>
        <w:rPr>
          <w:rFonts w:hint="eastAsia" w:eastAsiaTheme="minorEastAsia"/>
          <w:sz w:val="21"/>
          <w:szCs w:val="21"/>
        </w:rPr>
        <w:t>年全国生牛乳中体细胞数平均值与美国、新西兰和欧盟限量值比较</w:t>
      </w:r>
    </w:p>
    <w:p>
      <w:pPr>
        <w:spacing w:before="156" w:beforeLines="50" w:after="156" w:afterLines="50" w:line="360" w:lineRule="auto"/>
        <w:ind w:firstLine="420" w:firstLineChars="200"/>
        <w:jc w:val="center"/>
        <w:rPr>
          <w:rFonts w:eastAsiaTheme="minorEastAsia"/>
          <w:sz w:val="21"/>
          <w:szCs w:val="21"/>
        </w:rPr>
      </w:pPr>
      <w:r>
        <w:rPr>
          <w:rFonts w:hint="eastAsia" w:eastAsiaTheme="minorEastAsia"/>
          <w:sz w:val="21"/>
          <w:szCs w:val="21"/>
        </w:rPr>
        <w:t>（数据来源：农业农村部）</w:t>
      </w:r>
    </w:p>
    <w:p>
      <w:pPr>
        <w:spacing w:before="156" w:beforeLines="50" w:after="156" w:afterLines="50" w:line="480" w:lineRule="auto"/>
        <w:ind w:firstLine="480" w:firstLineChars="200"/>
        <w:jc w:val="both"/>
        <w:rPr>
          <w:rFonts w:eastAsia="仿宋"/>
          <w:sz w:val="24"/>
          <w:szCs w:val="24"/>
        </w:rPr>
      </w:pPr>
      <w:r>
        <w:rPr>
          <w:rFonts w:eastAsia="仿宋"/>
          <w:sz w:val="24"/>
          <w:szCs w:val="24"/>
        </w:rPr>
        <w:t>2018～2020年，中国奶业协会连续三年发布《中国奶业质量报告》，显示我国生鲜乳质量已达到发达国家水平，特别是规模养殖场生鲜乳中体细胞数平均值已低于欧盟的限量值（400000 scc/mL）。我国乳品加工企业都严格要求生牛乳中体细胞数，制定了一系列奖惩措施，特别是我国“优质乳工程”实施以来，将体细胞数低于300000 scc/mL，乳脂率和乳蛋白率分别高于3.3%和3.1%，细菌总数低于100000 CFU/mL的生牛乳列为特优级，体细胞数低于400000 scc/mL定为优级。综合考虑世界主要国家或地区生牛乳中体细胞数的限量，我国奶业发展以及牛奶质量要求，可将生牛乳中体细胞数限定为400000 scc/mL。</w:t>
      </w:r>
    </w:p>
    <w:p>
      <w:pPr>
        <w:spacing w:before="156" w:beforeLines="50" w:after="156" w:afterLines="50"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2、不同体细胞数蛋白质组和代谢组的试验验证</w:t>
      </w:r>
    </w:p>
    <w:p>
      <w:pPr>
        <w:spacing w:before="156" w:beforeLines="50" w:after="156" w:afterLines="50" w:line="480" w:lineRule="auto"/>
        <w:ind w:firstLine="480" w:firstLineChars="200"/>
        <w:rPr>
          <w:rFonts w:eastAsia="仿宋"/>
          <w:sz w:val="24"/>
          <w:szCs w:val="24"/>
        </w:rPr>
      </w:pPr>
      <w:r>
        <w:rPr>
          <w:rFonts w:eastAsia="仿宋"/>
          <w:sz w:val="24"/>
          <w:szCs w:val="24"/>
        </w:rPr>
        <w:t>采集牛奶，依据牛奶中体细胞数将牛奶分为5组：S1组体细胞数小于100000 scc/mL，S2组体细胞数200000 scc/mL，S3组体细胞数400000 scc/mL，S4组体细胞数750000 scc/mL和S5组体细胞数2000000 scc/mL。分离乳清和代谢物样品，采用蛋白质组学和代谢组学方法解析体细胞数对乳清蛋白和代谢物的影响规律，评价体细胞数和乳成分的关系，以此确定乳中体细胞数的预警值。</w:t>
      </w:r>
    </w:p>
    <w:p>
      <w:pPr>
        <w:spacing w:before="156" w:beforeLines="50" w:after="156" w:afterLines="50" w:line="480" w:lineRule="auto"/>
        <w:ind w:firstLine="480" w:firstLineChars="200"/>
        <w:rPr>
          <w:rFonts w:eastAsia="仿宋"/>
          <w:sz w:val="24"/>
          <w:szCs w:val="24"/>
        </w:rPr>
      </w:pPr>
      <w:r>
        <w:rPr>
          <w:rFonts w:eastAsia="仿宋"/>
          <w:sz w:val="24"/>
          <w:szCs w:val="24"/>
        </w:rPr>
        <w:t>不同体细胞数奶样的蛋白质组学研究：用酸沉淀方法分离乳清，乳清样品经二硫苏糖醇还原和碘乙酰胺烷基化巯基，胰蛋白酶酶切，获取的肽段用液相色谱串联质谱的方法分析、定量。结果发现不同体细胞数的乳清中鉴定到359种蛋白，统计分析表明奶中有136种蛋白的表达量发生了变化（</w:t>
      </w:r>
      <w:r>
        <w:rPr>
          <w:rFonts w:hint="eastAsia" w:eastAsia="仿宋"/>
          <w:sz w:val="24"/>
          <w:szCs w:val="24"/>
        </w:rPr>
        <w:t>见下表</w:t>
      </w:r>
      <w:r>
        <w:rPr>
          <w:rFonts w:eastAsia="仿宋"/>
          <w:sz w:val="24"/>
          <w:szCs w:val="24"/>
        </w:rPr>
        <w:t>）。聚类分析结果发现S1组和S2组体细胞数的乳清蛋白表达最为相似，其次是S3和S4组乳清蛋白，最后是S5组（</w:t>
      </w:r>
      <w:r>
        <w:rPr>
          <w:rFonts w:hint="eastAsia" w:eastAsia="仿宋"/>
          <w:sz w:val="24"/>
          <w:szCs w:val="24"/>
        </w:rPr>
        <w:t>见下图</w:t>
      </w:r>
      <w:r>
        <w:rPr>
          <w:rFonts w:eastAsia="仿宋"/>
          <w:sz w:val="24"/>
          <w:szCs w:val="24"/>
        </w:rPr>
        <w:t>）。主成分分析得分图如</w:t>
      </w:r>
      <w:r>
        <w:rPr>
          <w:rFonts w:hint="eastAsia" w:eastAsia="仿宋"/>
          <w:sz w:val="24"/>
          <w:szCs w:val="24"/>
        </w:rPr>
        <w:t>下图</w:t>
      </w:r>
      <w:r>
        <w:rPr>
          <w:rFonts w:eastAsia="仿宋"/>
          <w:sz w:val="24"/>
          <w:szCs w:val="24"/>
        </w:rPr>
        <w:t>所示，展示了S1到S5组乳清蛋白变化的趋势。</w:t>
      </w:r>
    </w:p>
    <w:p>
      <w:pPr>
        <w:tabs>
          <w:tab w:val="center" w:pos="4201"/>
          <w:tab w:val="right" w:leader="dot" w:pos="9298"/>
        </w:tabs>
        <w:autoSpaceDE w:val="0"/>
        <w:autoSpaceDN w:val="0"/>
        <w:spacing w:before="156" w:beforeLines="50" w:after="156" w:afterLines="50" w:line="360" w:lineRule="auto"/>
        <w:ind w:firstLine="420" w:firstLineChars="200"/>
        <w:jc w:val="center"/>
        <w:rPr>
          <w:rFonts w:eastAsiaTheme="minorEastAsia"/>
          <w:sz w:val="21"/>
          <w:szCs w:val="21"/>
        </w:rPr>
      </w:pPr>
      <w:r>
        <w:rPr>
          <w:rFonts w:eastAsiaTheme="minorEastAsia"/>
          <w:sz w:val="21"/>
          <w:szCs w:val="21"/>
        </w:rPr>
        <w:drawing>
          <wp:inline distT="0" distB="0" distL="0" distR="0">
            <wp:extent cx="1781175" cy="2327275"/>
            <wp:effectExtent l="0" t="0" r="0" b="0"/>
            <wp:docPr id="2" name="图片 1" descr="2018-12 HeatMap-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2018-12 HeatMap-d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81175" cy="2327275"/>
                    </a:xfrm>
                    <a:prstGeom prst="rect">
                      <a:avLst/>
                    </a:prstGeom>
                    <a:noFill/>
                    <a:ln>
                      <a:noFill/>
                    </a:ln>
                  </pic:spPr>
                </pic:pic>
              </a:graphicData>
            </a:graphic>
          </wp:inline>
        </w:drawing>
      </w:r>
      <w:r>
        <w:rPr>
          <w:rFonts w:eastAsiaTheme="minorEastAsia"/>
          <w:sz w:val="21"/>
          <w:szCs w:val="21"/>
        </w:rPr>
        <w:drawing>
          <wp:inline distT="0" distB="0" distL="0" distR="0">
            <wp:extent cx="213995" cy="108077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13995" cy="1080770"/>
                    </a:xfrm>
                    <a:prstGeom prst="rect">
                      <a:avLst/>
                    </a:prstGeom>
                    <a:noFill/>
                    <a:ln>
                      <a:noFill/>
                    </a:ln>
                  </pic:spPr>
                </pic:pic>
              </a:graphicData>
            </a:graphic>
          </wp:inline>
        </w:drawing>
      </w:r>
    </w:p>
    <w:p>
      <w:pPr>
        <w:tabs>
          <w:tab w:val="center" w:pos="4201"/>
          <w:tab w:val="right" w:leader="dot" w:pos="9298"/>
        </w:tabs>
        <w:autoSpaceDE w:val="0"/>
        <w:autoSpaceDN w:val="0"/>
        <w:spacing w:before="156" w:beforeLines="50" w:after="156" w:afterLines="50" w:line="360" w:lineRule="auto"/>
        <w:ind w:firstLine="420" w:firstLineChars="200"/>
        <w:jc w:val="center"/>
        <w:rPr>
          <w:rFonts w:eastAsiaTheme="minorEastAsia"/>
          <w:sz w:val="21"/>
          <w:szCs w:val="21"/>
        </w:rPr>
      </w:pPr>
      <w:r>
        <w:rPr>
          <w:rFonts w:eastAsiaTheme="minorEastAsia"/>
          <w:sz w:val="21"/>
          <w:szCs w:val="21"/>
        </w:rPr>
        <w:t>聚类分析5组体细胞数奶中差异乳清蛋白</w:t>
      </w:r>
    </w:p>
    <w:p>
      <w:pPr>
        <w:tabs>
          <w:tab w:val="center" w:pos="4201"/>
          <w:tab w:val="right" w:leader="dot" w:pos="9298"/>
        </w:tabs>
        <w:autoSpaceDE w:val="0"/>
        <w:autoSpaceDN w:val="0"/>
        <w:spacing w:before="156" w:beforeLines="50" w:after="156" w:afterLines="50" w:line="360" w:lineRule="auto"/>
        <w:ind w:firstLine="420" w:firstLineChars="200"/>
        <w:jc w:val="center"/>
        <w:rPr>
          <w:rFonts w:eastAsiaTheme="minorEastAsia"/>
          <w:sz w:val="21"/>
          <w:szCs w:val="21"/>
        </w:rPr>
      </w:pPr>
      <w:r>
        <w:rPr>
          <w:rFonts w:eastAsiaTheme="minorEastAsia"/>
          <w:sz w:val="21"/>
          <w:szCs w:val="21"/>
        </w:rPr>
        <w:drawing>
          <wp:inline distT="0" distB="0" distL="0" distR="0">
            <wp:extent cx="2018665" cy="201866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018665" cy="2018665"/>
                    </a:xfrm>
                    <a:prstGeom prst="rect">
                      <a:avLst/>
                    </a:prstGeom>
                    <a:noFill/>
                    <a:ln>
                      <a:noFill/>
                    </a:ln>
                  </pic:spPr>
                </pic:pic>
              </a:graphicData>
            </a:graphic>
          </wp:inline>
        </w:drawing>
      </w:r>
    </w:p>
    <w:p>
      <w:pPr>
        <w:spacing w:before="156" w:beforeLines="50" w:after="156" w:afterLines="50" w:line="360" w:lineRule="auto"/>
        <w:jc w:val="center"/>
        <w:rPr>
          <w:rFonts w:eastAsiaTheme="minorEastAsia"/>
          <w:sz w:val="21"/>
          <w:szCs w:val="21"/>
        </w:rPr>
      </w:pPr>
      <w:r>
        <w:rPr>
          <w:rFonts w:eastAsiaTheme="minorEastAsia"/>
          <w:sz w:val="21"/>
          <w:szCs w:val="21"/>
        </w:rPr>
        <w:t>主成分分析5组体细胞数奶样差异乳清蛋白的得分图</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center"/>
        <w:textAlignment w:val="auto"/>
        <w:rPr>
          <w:rFonts w:eastAsiaTheme="minorEastAsia"/>
          <w:sz w:val="21"/>
          <w:szCs w:val="21"/>
        </w:rPr>
      </w:pPr>
      <w:r>
        <w:rPr>
          <w:rFonts w:eastAsiaTheme="minorEastAsia"/>
          <w:sz w:val="21"/>
          <w:szCs w:val="21"/>
        </w:rPr>
        <w:t>奶中部分随体细胞数变化的乳清蛋白</w:t>
      </w:r>
    </w:p>
    <w:tbl>
      <w:tblPr>
        <w:tblStyle w:val="18"/>
        <w:tblW w:w="8647" w:type="dxa"/>
        <w:tblInd w:w="-142"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27"/>
        <w:gridCol w:w="1417"/>
        <w:gridCol w:w="1418"/>
        <w:gridCol w:w="1417"/>
        <w:gridCol w:w="1418"/>
        <w:gridCol w:w="850"/>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127" w:type="dxa"/>
            <w:tcBorders>
              <w:top w:val="single" w:color="auto" w:sz="4" w:space="0"/>
              <w:bottom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蛋白名称</w:t>
            </w:r>
          </w:p>
        </w:tc>
        <w:tc>
          <w:tcPr>
            <w:tcW w:w="1417" w:type="dxa"/>
            <w:tcBorders>
              <w:top w:val="single" w:color="auto" w:sz="4" w:space="0"/>
              <w:bottom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Log(S1/S2,2)</w:t>
            </w:r>
          </w:p>
        </w:tc>
        <w:tc>
          <w:tcPr>
            <w:tcW w:w="1418" w:type="dxa"/>
            <w:tcBorders>
              <w:top w:val="single" w:color="auto" w:sz="4" w:space="0"/>
              <w:bottom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Log(S1/S3,2)</w:t>
            </w:r>
          </w:p>
        </w:tc>
        <w:tc>
          <w:tcPr>
            <w:tcW w:w="1417" w:type="dxa"/>
            <w:tcBorders>
              <w:top w:val="single" w:color="auto" w:sz="4" w:space="0"/>
              <w:bottom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Log(S1/S4,2)</w:t>
            </w:r>
          </w:p>
        </w:tc>
        <w:tc>
          <w:tcPr>
            <w:tcW w:w="1418" w:type="dxa"/>
            <w:tcBorders>
              <w:top w:val="single" w:color="auto" w:sz="4" w:space="0"/>
              <w:bottom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Log(S1/S5,2)</w:t>
            </w:r>
          </w:p>
        </w:tc>
        <w:tc>
          <w:tcPr>
            <w:tcW w:w="850" w:type="dxa"/>
            <w:tcBorders>
              <w:top w:val="single" w:color="auto" w:sz="4" w:space="0"/>
              <w:bottom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-Log p value</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tcBorders>
              <w:top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α1B-糖蛋白</w:t>
            </w:r>
          </w:p>
        </w:tc>
        <w:tc>
          <w:tcPr>
            <w:tcW w:w="1417" w:type="dxa"/>
            <w:tcBorders>
              <w:top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-0.81 </w:t>
            </w:r>
          </w:p>
        </w:tc>
        <w:tc>
          <w:tcPr>
            <w:tcW w:w="1418" w:type="dxa"/>
            <w:tcBorders>
              <w:top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-0.74 </w:t>
            </w:r>
          </w:p>
        </w:tc>
        <w:tc>
          <w:tcPr>
            <w:tcW w:w="1417" w:type="dxa"/>
            <w:tcBorders>
              <w:top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-0.49 </w:t>
            </w:r>
          </w:p>
        </w:tc>
        <w:tc>
          <w:tcPr>
            <w:tcW w:w="1418" w:type="dxa"/>
            <w:tcBorders>
              <w:top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-0.58 </w:t>
            </w:r>
          </w:p>
        </w:tc>
        <w:tc>
          <w:tcPr>
            <w:tcW w:w="850" w:type="dxa"/>
            <w:tcBorders>
              <w:top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1.44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α-1抗胰糜蛋白酶</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-1.22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-1.00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-1.25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-1.69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3.04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α-2-巨球蛋白</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-0.38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-0.71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-1.09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1.5</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αS1-酪蛋白</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-0.58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-1.06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-1.12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-0.94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2.16</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波形纤维蛋白</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3.21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3.08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3.31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3.14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2.59</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钙粘蛋白-1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-0.30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-0.45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0.08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0.44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1.98</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果糖二磷酸醛缩酶A</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1.02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2.62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2.46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1.88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1.67</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核内不均一性核糖核蛋白A1</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6.44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5.81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5.78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1.31</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核内不均一性核糖核蛋白A3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1.62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3.88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5.20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5.18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3.4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肌动蛋白</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1.65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2.52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2.14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1.40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1.62</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甲状旁腺素相关蛋白</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1.84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1.93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2.54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5.56</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结合珠蛋白</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-0.40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-2.06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1.6</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抗菌肽-1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-3.84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-5.06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-5.64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-6.64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1.47</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抗菌肽-2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-2.64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-3.47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-3.64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-5.06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2.93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抗菌肽-3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-3.84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-4.64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-5.64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-6.64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1.44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抗菌肽-4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-3.06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-4.32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-4.64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-6.64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2.55</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抗凝血酶III</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-0.47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-0.34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-0.22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0.12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3.35</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壳多糖酶3-样蛋白1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-0.29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-1.06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-1.40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3.94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淋巴细胞胞浆蛋白1</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-1.15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-2.74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-2.94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-4.06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3.01</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瘤坏死因子受体超家族成员6B</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-0.43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-0.94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-0.43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-0.38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2.42</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前列腺素H2 D-异构酶</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-1.25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-0.81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-1.29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-1.64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6.64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热休克蛋白A5</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1.70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1.51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1.08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8.33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乳铁蛋白</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-0.56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-0.92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-0.71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-0.81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7.42</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嗜乳脂蛋白</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0.46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0.40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0.37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0.70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7.69</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丝氨酸蛋白酶抑制剂A3-7</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-0.56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-0.34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-0.60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-0.86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2.49</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丝氨酸蛋白酶抑制剂B1</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-0.89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-1.12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-1.40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-2.12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1.70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丝氨酸蛋白酶抑制因子A3-2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-0.69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-0.62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-1.12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2.23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肽聚糖识别蛋白1</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-2.56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-3.32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-3.84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-5.06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2.68</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铜蓝蛋白</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-0.29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-0.60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-0.60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-0.84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2.33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纤维蛋白原α链</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-0.56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-0.94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-0.89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-1.51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4.54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纤维蛋白原β链</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-0.86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-1.06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-1.12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-1.74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10.97</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血浆酶原</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-0.54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-0.69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-0.62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-0.60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2.74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血清淀粉样蛋白A3</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-0.92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-1.89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-2.32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-2.47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3.75</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血液结合素</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-0.45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-0.81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-0.79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-1.25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1.55</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脂蛋白酯酶</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0.44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0.63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0.93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5.59</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脂质运载蛋白-2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-1.09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-1.89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-1.94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-2.84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3.92</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转铁蛋白</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-0.86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-0.56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-0.64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9.3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转酮醇酶</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-0.17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-0.79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-1.00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-2.06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1.87</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组织蛋白酶 B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-0.51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-0.74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-0.76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-0.51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4.97</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12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组织蛋白酶D</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-0.25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-0.62 </w:t>
            </w:r>
          </w:p>
        </w:tc>
        <w:tc>
          <w:tcPr>
            <w:tcW w:w="1417"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-0.38 </w:t>
            </w:r>
          </w:p>
        </w:tc>
        <w:tc>
          <w:tcPr>
            <w:tcW w:w="141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 xml:space="preserve">-0.12 </w:t>
            </w:r>
          </w:p>
        </w:tc>
        <w:tc>
          <w:tcPr>
            <w:tcW w:w="85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textAlignment w:val="auto"/>
              <w:rPr>
                <w:rFonts w:eastAsiaTheme="minorEastAsia"/>
                <w:sz w:val="21"/>
                <w:szCs w:val="21"/>
              </w:rPr>
            </w:pPr>
            <w:r>
              <w:rPr>
                <w:rFonts w:eastAsiaTheme="minorEastAsia"/>
                <w:sz w:val="21"/>
                <w:szCs w:val="21"/>
              </w:rPr>
              <w:t>2.6</w:t>
            </w:r>
          </w:p>
        </w:tc>
      </w:tr>
    </w:tbl>
    <w:p>
      <w:pPr>
        <w:spacing w:before="156" w:beforeLines="50" w:after="156" w:afterLines="50" w:line="480" w:lineRule="auto"/>
        <w:ind w:firstLine="480" w:firstLineChars="200"/>
        <w:jc w:val="both"/>
        <w:rPr>
          <w:rFonts w:eastAsia="仿宋"/>
          <w:sz w:val="24"/>
          <w:szCs w:val="24"/>
        </w:rPr>
      </w:pPr>
      <w:r>
        <w:rPr>
          <w:rFonts w:eastAsia="仿宋"/>
          <w:sz w:val="24"/>
          <w:szCs w:val="24"/>
        </w:rPr>
        <w:t>不同体细胞数奶样的代谢组学研究：在脱脂奶样中加入300 μL甲醇，并加入10 μL内标，涡旋混匀后置于离心机中，于4</w:t>
      </w:r>
      <w:r>
        <w:rPr>
          <w:rFonts w:hint="eastAsia" w:ascii="宋体" w:hAnsi="宋体" w:cs="宋体"/>
          <w:sz w:val="24"/>
          <w:szCs w:val="24"/>
        </w:rPr>
        <w:t>℃</w:t>
      </w:r>
      <w:r>
        <w:rPr>
          <w:rFonts w:eastAsia="仿宋"/>
          <w:sz w:val="24"/>
          <w:szCs w:val="24"/>
        </w:rPr>
        <w:t>，12000 rpm离心15 min，吸取200 μL上清，转入进样小瓶中在正离子和负离子模式下检测，获得的代谢物量化后用多元变量进行统计分析，结果发现，S1组和S2组奶样仅有7种代谢物存在显著差异，S1组与S3组有38种代谢物存在差异，而S1组与S4组和S5组均有40多种代谢物存在差异。且发现鸟苷一磷酸、腺苷等随体细胞数的增加而呈下降的趋势，而乳酸、缬氨酸和鞘氨醇等随体细胞数的增加而显著增加。</w:t>
      </w:r>
    </w:p>
    <w:p>
      <w:pPr>
        <w:spacing w:before="156" w:beforeLines="50" w:after="156" w:afterLines="50" w:line="480" w:lineRule="auto"/>
        <w:ind w:firstLine="480" w:firstLineChars="200"/>
        <w:jc w:val="both"/>
        <w:rPr>
          <w:rFonts w:eastAsia="仿宋"/>
          <w:sz w:val="24"/>
          <w:szCs w:val="24"/>
        </w:rPr>
      </w:pPr>
      <w:r>
        <w:rPr>
          <w:rFonts w:eastAsia="仿宋"/>
          <w:sz w:val="24"/>
          <w:szCs w:val="24"/>
        </w:rPr>
        <w:t>通过不同体细胞数奶样的乳清蛋白质组和代谢组的研究发现，根据奶业发达国家体细胞数的限量、中国奶业年鉴统计数据、奶罐中乳体细胞数、文献中体细胞数与奶中蛋白、脂肪等营养组分含量以及体细胞数与乳清蛋白质组和代谢组的聚类分析，确定牛奶体细胞数为400000 scc/mL，需要依据技术规范进行控制。</w:t>
      </w:r>
    </w:p>
    <w:p>
      <w:pPr>
        <w:numPr>
          <w:ilvl w:val="0"/>
          <w:numId w:val="1"/>
        </w:numPr>
        <w:pBdr>
          <w:top w:val="none" w:color="auto" w:sz="0" w:space="1"/>
          <w:bottom w:val="none" w:color="auto" w:sz="0" w:space="1"/>
          <w:right w:val="none" w:color="auto" w:sz="0" w:space="4"/>
        </w:pBdr>
        <w:spacing w:before="156" w:beforeLines="50" w:after="156" w:afterLines="50" w:line="360" w:lineRule="auto"/>
        <w:ind w:firstLine="241" w:firstLineChars="100"/>
        <w:rPr>
          <w:rFonts w:ascii="黑体" w:hAnsi="黑体" w:eastAsia="黑体" w:cs="黑体"/>
          <w:b/>
          <w:bCs/>
          <w:color w:val="000000"/>
          <w:sz w:val="24"/>
          <w:szCs w:val="24"/>
        </w:rPr>
      </w:pPr>
      <w:r>
        <w:rPr>
          <w:rFonts w:hint="eastAsia" w:ascii="黑体" w:hAnsi="黑体" w:eastAsia="黑体" w:cs="黑体"/>
          <w:b/>
          <w:bCs/>
          <w:color w:val="000000"/>
          <w:sz w:val="24"/>
          <w:szCs w:val="24"/>
        </w:rPr>
        <w:t>标准内容10核实</w:t>
      </w:r>
    </w:p>
    <w:p>
      <w:pPr>
        <w:pStyle w:val="33"/>
        <w:spacing w:before="156" w:beforeLines="50" w:after="156" w:afterLines="50" w:line="360" w:lineRule="auto"/>
        <w:ind w:firstLine="560"/>
        <w:rPr>
          <w:rFonts w:ascii="黑体" w:hAnsi="黑体" w:eastAsia="黑体" w:cs="Times New Roman"/>
          <w:b/>
          <w:bCs/>
          <w:sz w:val="24"/>
          <w:szCs w:val="24"/>
        </w:rPr>
      </w:pPr>
      <w:r>
        <w:rPr>
          <w:rFonts w:ascii="黑体" w:hAnsi="黑体" w:eastAsia="黑体" w:cs="Times New Roman"/>
          <w:sz w:val="24"/>
          <w:szCs w:val="24"/>
        </w:rPr>
        <w:t>当奶罐中乳体细胞数超过400000 scc/mL时，按第9章要求进行纠偏核实，直至连续3 d乳体细胞数小于400000 scc/mL为止。</w:t>
      </w:r>
      <w:bookmarkStart w:id="14" w:name="_Hlk62256507"/>
      <w:bookmarkStart w:id="15" w:name="_Hlk62398310"/>
    </w:p>
    <w:bookmarkEnd w:id="14"/>
    <w:p>
      <w:pPr>
        <w:spacing w:before="156" w:beforeLines="50" w:after="156" w:afterLines="50" w:line="360" w:lineRule="auto"/>
        <w:ind w:firstLine="482"/>
        <w:rPr>
          <w:rFonts w:ascii="仿宋" w:hAnsi="仿宋" w:eastAsia="仿宋" w:cs="仿宋"/>
          <w:b/>
          <w:bCs/>
          <w:iCs/>
          <w:color w:val="000000"/>
          <w:sz w:val="24"/>
          <w:szCs w:val="24"/>
        </w:rPr>
      </w:pPr>
      <w:r>
        <w:rPr>
          <w:rFonts w:hint="eastAsia" w:ascii="仿宋" w:hAnsi="仿宋" w:eastAsia="仿宋" w:cs="仿宋"/>
          <w:b/>
          <w:bCs/>
          <w:iCs/>
          <w:color w:val="000000"/>
          <w:sz w:val="24"/>
          <w:szCs w:val="24"/>
        </w:rPr>
        <w:t>理由及依据：</w:t>
      </w:r>
    </w:p>
    <w:p>
      <w:pPr>
        <w:pStyle w:val="33"/>
        <w:spacing w:before="156" w:beforeLines="50" w:after="156" w:afterLines="50" w:line="480" w:lineRule="auto"/>
        <w:ind w:firstLine="560"/>
        <w:rPr>
          <w:rFonts w:ascii="Times New Roman" w:hAnsi="Times New Roman" w:eastAsia="仿宋" w:cs="Times New Roman"/>
          <w:sz w:val="24"/>
          <w:szCs w:val="24"/>
        </w:rPr>
      </w:pPr>
      <w:r>
        <w:rPr>
          <w:rFonts w:ascii="Times New Roman" w:hAnsi="Times New Roman" w:eastAsia="仿宋" w:cs="Times New Roman"/>
          <w:sz w:val="24"/>
          <w:szCs w:val="24"/>
        </w:rPr>
        <w:t>当奶罐中乳体细胞数超过400000 scc/mL时，需进行纠偏，</w:t>
      </w:r>
      <w:bookmarkStart w:id="16" w:name="_Hlk62258190"/>
      <w:r>
        <w:rPr>
          <w:rFonts w:ascii="Times New Roman" w:hAnsi="Times New Roman" w:eastAsia="仿宋" w:cs="Times New Roman"/>
          <w:sz w:val="24"/>
          <w:szCs w:val="24"/>
        </w:rPr>
        <w:t>从奶牛饲料中与体细胞数最为相关的维生素E和硒元素、干奶期和泌乳早期奶牛饲养管理、体细胞数异常牛的营养调控、淘汰久治不愈的乳腺炎患病牛、挤奶管理、环境和牛体卫生及应激等环节进行检测，确定关键控制点并制定纠偏方案</w:t>
      </w:r>
      <w:bookmarkEnd w:id="16"/>
      <w:r>
        <w:rPr>
          <w:rFonts w:ascii="Times New Roman" w:hAnsi="Times New Roman" w:eastAsia="仿宋" w:cs="Times New Roman"/>
          <w:sz w:val="24"/>
          <w:szCs w:val="24"/>
        </w:rPr>
        <w:t>，纠偏措施实施结束后每天测定体细胞数，直至连续3 d乳体细胞数小于400000 scc/mL为止。</w:t>
      </w:r>
      <w:bookmarkEnd w:id="15"/>
    </w:p>
    <w:p>
      <w:pPr>
        <w:pStyle w:val="33"/>
        <w:spacing w:before="156" w:beforeLines="50" w:after="156" w:afterLines="50" w:line="480" w:lineRule="auto"/>
        <w:ind w:firstLine="560"/>
        <w:rPr>
          <w:rFonts w:ascii="Times New Roman" w:hAnsi="Times New Roman" w:eastAsia="仿宋" w:cs="Times New Roman"/>
          <w:sz w:val="24"/>
          <w:szCs w:val="24"/>
        </w:rPr>
      </w:pPr>
      <w:r>
        <w:rPr>
          <w:rFonts w:ascii="Times New Roman" w:hAnsi="Times New Roman" w:eastAsia="仿宋" w:cs="Times New Roman"/>
          <w:sz w:val="24"/>
          <w:szCs w:val="24"/>
        </w:rPr>
        <w:t>美国联邦法规规定，牧场生乳中体细胞数测定应在任何连续6个月内须接受至少抽检4次，且这4次抽检必须在不同的月份进行。若生乳中体细胞超过限量，则通知并警告牧场主进行整改；若连续4次抽检中有2次超过限量值，监管机构须通知牧场主并予以书面警告，且在其后的连续4次抽检中体细胞数仍然有2次超过限量值，这个警告会持续有效，直至连续4次抽检体细胞数合格为止。欧盟No. 853/2004文件规定，取3个月内乳中体细胞数的几何平均数，每个月应至少检测1次生乳中体细胞数，其中，荷兰和英国是个月检测1次生乳中体细胞数；意大利、挪威、瑞典、德国和芬兰是每个月检测2次生乳中体细胞数；法国是每个月检测3次生乳中体细胞数；如果生乳中体细胞数不达标，食品经营者必须通知相关当局并采取有效的纠正措施，至体细胞数达标。</w:t>
      </w:r>
    </w:p>
    <w:p>
      <w:pPr>
        <w:pStyle w:val="33"/>
        <w:spacing w:before="156" w:beforeLines="50" w:after="156" w:afterLines="50" w:line="480" w:lineRule="auto"/>
        <w:ind w:firstLine="560"/>
        <w:rPr>
          <w:rFonts w:ascii="Times New Roman" w:hAnsi="Times New Roman" w:eastAsia="仿宋" w:cs="Times New Roman"/>
          <w:sz w:val="24"/>
          <w:szCs w:val="24"/>
        </w:rPr>
      </w:pPr>
      <w:r>
        <w:rPr>
          <w:rFonts w:ascii="Times New Roman" w:hAnsi="Times New Roman" w:eastAsia="仿宋" w:cs="Times New Roman"/>
          <w:sz w:val="24"/>
          <w:szCs w:val="24"/>
        </w:rPr>
        <w:t>标准起草组在产后奶牛日粮中分别添加0、200 g/d的中草药提取物，预饲期1周，正饲期4周，检测乳成分等指标。结果表明中草药提取物的添加增加了奶牛产后产奶量约3 kg，但中草药添加剂的添加对乳蛋白、乳脂肪含量没有显著影响，对照组奶牛乳中体细胞数为670000 scc/mL，而试验组奶牛乳中体细胞数下降至267000 scc/mL，显著降低了乳中体细胞数。</w:t>
      </w:r>
    </w:p>
    <w:p>
      <w:pPr>
        <w:pStyle w:val="33"/>
        <w:spacing w:before="156" w:beforeLines="50" w:after="156" w:afterLines="50" w:line="480" w:lineRule="auto"/>
        <w:ind w:firstLine="560"/>
        <w:rPr>
          <w:rFonts w:ascii="Times New Roman" w:hAnsi="Times New Roman" w:eastAsia="仿宋" w:cs="Times New Roman"/>
          <w:sz w:val="24"/>
          <w:szCs w:val="24"/>
        </w:rPr>
      </w:pPr>
      <w:r>
        <w:rPr>
          <w:rFonts w:ascii="Times New Roman" w:hAnsi="Times New Roman" w:eastAsia="仿宋" w:cs="Times New Roman"/>
          <w:sz w:val="24"/>
          <w:szCs w:val="24"/>
        </w:rPr>
        <w:t>此外，标准起草组在2020年9月-2021年1月在青岛荷斯坦奶牛养殖有限公司和青岛新高地奶牛养殖场2家单位对隐性乳腺炎奶牛乳中添加β-胡萝卜素、中草药添加剂等2个月试验，结果发现，营养调控措施的实施显著降低乳中体细胞数至300000 scc/mL以下，验证结果表明，应用本技术规范，有利于乳中体细胞数控制、保障生牛乳质量。标准起草组在河南花花牛乳业集团股份有限公司对生乳中体细胞数的控制技术进行了应用，在本技术规范应用前虽然牛乳中体细胞数平均值在200 000 scc/mL以下，但体细胞数变异较大，应用后体细胞数的变异降低（</w:t>
      </w:r>
      <w:r>
        <w:rPr>
          <w:rFonts w:hint="eastAsia" w:ascii="Times New Roman" w:hAnsi="Times New Roman" w:eastAsia="仿宋" w:cs="Times New Roman"/>
          <w:sz w:val="24"/>
          <w:szCs w:val="24"/>
        </w:rPr>
        <w:t>见下图</w:t>
      </w:r>
      <w:r>
        <w:rPr>
          <w:rFonts w:ascii="Times New Roman" w:hAnsi="Times New Roman" w:eastAsia="仿宋" w:cs="Times New Roman"/>
          <w:sz w:val="24"/>
          <w:szCs w:val="24"/>
        </w:rPr>
        <w:t>）。</w:t>
      </w:r>
    </w:p>
    <w:p>
      <w:pPr>
        <w:pStyle w:val="33"/>
        <w:spacing w:line="360" w:lineRule="auto"/>
        <w:ind w:firstLine="420"/>
        <w:rPr>
          <w:bCs/>
          <w:szCs w:val="21"/>
        </w:rPr>
      </w:pPr>
      <w:r>
        <w:rPr>
          <w:rFonts w:ascii="Times New Roman"/>
        </w:rPr>
        <w:drawing>
          <wp:inline distT="0" distB="0" distL="0" distR="0">
            <wp:extent cx="4973320" cy="29178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73320" cy="2917825"/>
                    </a:xfrm>
                    <a:prstGeom prst="rect">
                      <a:avLst/>
                    </a:prstGeom>
                    <a:noFill/>
                  </pic:spPr>
                </pic:pic>
              </a:graphicData>
            </a:graphic>
          </wp:inline>
        </w:drawing>
      </w:r>
    </w:p>
    <w:p>
      <w:pPr>
        <w:pStyle w:val="33"/>
        <w:spacing w:line="360" w:lineRule="auto"/>
        <w:ind w:firstLine="420"/>
        <w:jc w:val="center"/>
        <w:rPr>
          <w:bCs/>
          <w:szCs w:val="21"/>
        </w:rPr>
      </w:pPr>
      <w:r>
        <w:rPr>
          <w:rFonts w:hint="eastAsia"/>
          <w:bCs/>
          <w:szCs w:val="21"/>
        </w:rPr>
        <w:t>技术应用前后体细胞数的变异和均值变化</w:t>
      </w:r>
    </w:p>
    <w:p>
      <w:pPr>
        <w:numPr>
          <w:ilvl w:val="0"/>
          <w:numId w:val="2"/>
        </w:numPr>
        <w:spacing w:before="156" w:beforeLines="50" w:after="156" w:afterLines="50" w:line="360" w:lineRule="auto"/>
        <w:rPr>
          <w:rFonts w:ascii="黑体" w:hAnsi="黑体" w:eastAsia="黑体" w:cs="黑体"/>
          <w:sz w:val="32"/>
          <w:szCs w:val="32"/>
        </w:rPr>
      </w:pPr>
      <w:r>
        <w:rPr>
          <w:rFonts w:hint="eastAsia" w:ascii="黑体" w:hAnsi="黑体" w:eastAsia="黑体" w:cs="黑体"/>
          <w:color w:val="000000"/>
          <w:sz w:val="32"/>
          <w:szCs w:val="32"/>
        </w:rPr>
        <w:t>采用的国际标准</w:t>
      </w:r>
    </w:p>
    <w:p>
      <w:pPr>
        <w:spacing w:before="156" w:beforeLines="50" w:after="156" w:afterLines="50" w:line="480" w:lineRule="auto"/>
        <w:ind w:firstLine="560" w:firstLineChars="200"/>
        <w:rPr>
          <w:rFonts w:eastAsia="仿宋"/>
          <w:sz w:val="28"/>
          <w:szCs w:val="28"/>
        </w:rPr>
      </w:pPr>
      <w:r>
        <w:rPr>
          <w:rFonts w:hint="eastAsia" w:ascii="仿宋" w:hAnsi="仿宋" w:eastAsia="仿宋" w:cs="仿宋"/>
          <w:sz w:val="28"/>
          <w:szCs w:val="28"/>
        </w:rPr>
        <w:t>本标准在编制过程中</w:t>
      </w:r>
      <w:r>
        <w:rPr>
          <w:rFonts w:hint="eastAsia" w:ascii="仿宋" w:hAnsi="仿宋" w:eastAsia="仿宋" w:cs="仿宋"/>
          <w:sz w:val="28"/>
          <w:szCs w:val="28"/>
          <w:lang w:val="en-US" w:eastAsia="zh-CN"/>
        </w:rPr>
        <w:t>无采用国际标准</w:t>
      </w:r>
      <w:r>
        <w:rPr>
          <w:rFonts w:eastAsia="仿宋"/>
          <w:sz w:val="28"/>
          <w:szCs w:val="28"/>
        </w:rPr>
        <w:t>。</w:t>
      </w:r>
    </w:p>
    <w:p>
      <w:pPr>
        <w:numPr>
          <w:ilvl w:val="0"/>
          <w:numId w:val="2"/>
        </w:numPr>
        <w:spacing w:before="156" w:beforeLines="50" w:after="156" w:afterLines="50" w:line="360" w:lineRule="auto"/>
        <w:rPr>
          <w:rFonts w:ascii="黑体" w:hAnsi="黑体" w:eastAsia="黑体" w:cs="黑体"/>
          <w:sz w:val="32"/>
          <w:szCs w:val="32"/>
        </w:rPr>
      </w:pPr>
      <w:r>
        <w:rPr>
          <w:rFonts w:hint="eastAsia" w:ascii="黑体" w:hAnsi="黑体" w:eastAsia="黑体" w:cs="黑体"/>
          <w:sz w:val="32"/>
          <w:szCs w:val="32"/>
        </w:rPr>
        <w:t>与现行法律、法规和强制性标准的关系</w:t>
      </w:r>
    </w:p>
    <w:p>
      <w:pPr>
        <w:spacing w:before="156" w:beforeLines="50" w:after="156" w:afterLines="50" w:line="480" w:lineRule="auto"/>
        <w:ind w:firstLine="560" w:firstLineChars="200"/>
        <w:rPr>
          <w:rFonts w:ascii="仿宋" w:hAnsi="仿宋" w:eastAsia="仿宋" w:cs="仿宋"/>
          <w:bCs/>
          <w:sz w:val="28"/>
          <w:szCs w:val="28"/>
        </w:rPr>
      </w:pPr>
      <w:r>
        <w:rPr>
          <w:rFonts w:hint="eastAsia" w:ascii="仿宋" w:hAnsi="仿宋" w:eastAsia="仿宋" w:cs="仿宋"/>
          <w:sz w:val="28"/>
          <w:szCs w:val="28"/>
        </w:rPr>
        <w:t>在制定过程中，严格贯彻国家有关方针、政策、法律和规章，执行强制性国家标准和行业标准。与现行基础标准相衔接，遵循政策性和协调同一性的原则。本标准与现行法律法规和强制性标准没有冲突。</w:t>
      </w:r>
    </w:p>
    <w:p>
      <w:pPr>
        <w:spacing w:before="156" w:beforeLines="50" w:after="156" w:afterLines="50" w:line="360" w:lineRule="auto"/>
        <w:rPr>
          <w:rFonts w:ascii="黑体" w:hAnsi="黑体" w:eastAsia="黑体" w:cs="黑体"/>
          <w:sz w:val="32"/>
          <w:szCs w:val="32"/>
        </w:rPr>
      </w:pPr>
      <w:r>
        <w:rPr>
          <w:rFonts w:hint="eastAsia" w:ascii="黑体" w:hAnsi="黑体" w:eastAsia="黑体" w:cs="黑体"/>
          <w:sz w:val="32"/>
          <w:szCs w:val="32"/>
        </w:rPr>
        <w:t>六、重大分歧意见的处理经过和依据</w:t>
      </w:r>
    </w:p>
    <w:p>
      <w:pPr>
        <w:spacing w:before="156" w:beforeLines="50" w:after="156" w:afterLines="50" w:line="360" w:lineRule="auto"/>
        <w:ind w:firstLine="560" w:firstLineChars="200"/>
        <w:rPr>
          <w:rFonts w:ascii="仿宋" w:hAnsi="仿宋" w:eastAsia="仿宋" w:cs="仿宋"/>
          <w:bCs/>
          <w:sz w:val="28"/>
          <w:szCs w:val="28"/>
        </w:rPr>
      </w:pPr>
      <w:r>
        <w:rPr>
          <w:rFonts w:hint="eastAsia" w:ascii="仿宋" w:hAnsi="仿宋" w:eastAsia="仿宋" w:cs="仿宋"/>
          <w:sz w:val="28"/>
          <w:szCs w:val="28"/>
        </w:rPr>
        <w:t>本标准在编制过程中没有重大意见分歧</w:t>
      </w:r>
      <w:r>
        <w:rPr>
          <w:rFonts w:hint="eastAsia" w:ascii="仿宋" w:hAnsi="仿宋" w:eastAsia="仿宋" w:cs="仿宋"/>
          <w:bCs/>
          <w:sz w:val="28"/>
          <w:szCs w:val="28"/>
        </w:rPr>
        <w:t>。</w:t>
      </w:r>
    </w:p>
    <w:p>
      <w:pPr>
        <w:spacing w:before="156" w:beforeLines="50" w:after="156" w:afterLines="50" w:line="360" w:lineRule="auto"/>
        <w:rPr>
          <w:rFonts w:ascii="黑体" w:hAnsi="黑体" w:eastAsia="黑体" w:cs="黑体"/>
          <w:sz w:val="32"/>
          <w:szCs w:val="32"/>
        </w:rPr>
      </w:pPr>
      <w:r>
        <w:rPr>
          <w:rFonts w:hint="eastAsia" w:ascii="黑体" w:hAnsi="黑体" w:eastAsia="黑体" w:cs="黑体"/>
          <w:sz w:val="32"/>
          <w:szCs w:val="32"/>
        </w:rPr>
        <w:t>七、作为强制性标准或推荐性标准的建议</w:t>
      </w:r>
    </w:p>
    <w:p>
      <w:pPr>
        <w:spacing w:before="156" w:beforeLines="50" w:after="156" w:afterLines="50" w:line="480" w:lineRule="auto"/>
        <w:ind w:firstLine="560" w:firstLineChars="200"/>
        <w:rPr>
          <w:rFonts w:ascii="仿宋" w:hAnsi="仿宋" w:eastAsia="仿宋" w:cs="仿宋"/>
          <w:bCs/>
          <w:sz w:val="28"/>
          <w:szCs w:val="28"/>
        </w:rPr>
      </w:pPr>
      <w:r>
        <w:rPr>
          <w:rFonts w:hint="eastAsia" w:ascii="仿宋" w:hAnsi="仿宋" w:eastAsia="仿宋" w:cs="仿宋"/>
          <w:bCs/>
          <w:sz w:val="28"/>
          <w:szCs w:val="28"/>
        </w:rPr>
        <w:t>本标准为技术规范类标准，并不涉及保障人身健康和生命财产安全、国家安全、生态环境安全以</w:t>
      </w:r>
      <w:bookmarkStart w:id="17" w:name="_GoBack"/>
      <w:bookmarkEnd w:id="17"/>
      <w:r>
        <w:rPr>
          <w:rFonts w:hint="eastAsia" w:ascii="仿宋" w:hAnsi="仿宋" w:eastAsia="仿宋" w:cs="仿宋"/>
          <w:bCs/>
          <w:sz w:val="28"/>
          <w:szCs w:val="28"/>
        </w:rPr>
        <w:t>及满足经济社会管理基本需要的技术要求，因此，建议将其作为推荐性行业标准颁布实施。</w:t>
      </w:r>
    </w:p>
    <w:p>
      <w:pPr>
        <w:spacing w:before="156" w:beforeLines="50" w:after="156" w:afterLines="50" w:line="360" w:lineRule="auto"/>
        <w:rPr>
          <w:rFonts w:ascii="黑体" w:hAnsi="黑体" w:eastAsia="黑体" w:cs="黑体"/>
          <w:b/>
          <w:sz w:val="32"/>
          <w:szCs w:val="32"/>
        </w:rPr>
      </w:pPr>
      <w:r>
        <w:rPr>
          <w:rFonts w:hint="eastAsia" w:ascii="黑体" w:hAnsi="黑体" w:eastAsia="黑体" w:cs="黑体"/>
          <w:b/>
          <w:sz w:val="32"/>
          <w:szCs w:val="32"/>
        </w:rPr>
        <w:t>八、贯彻标准的要求和措施建议</w:t>
      </w:r>
    </w:p>
    <w:p>
      <w:pPr>
        <w:spacing w:before="156" w:beforeLines="50" w:after="156" w:afterLines="50" w:line="480" w:lineRule="auto"/>
        <w:ind w:firstLine="560" w:firstLineChars="200"/>
        <w:rPr>
          <w:rFonts w:ascii="仿宋" w:hAnsi="仿宋" w:eastAsia="仿宋" w:cs="仿宋"/>
          <w:bCs/>
          <w:sz w:val="28"/>
          <w:szCs w:val="28"/>
        </w:rPr>
      </w:pPr>
      <w:r>
        <w:rPr>
          <w:rFonts w:hint="eastAsia" w:ascii="仿宋" w:hAnsi="仿宋" w:eastAsia="仿宋" w:cs="仿宋"/>
          <w:sz w:val="28"/>
          <w:szCs w:val="28"/>
        </w:rPr>
        <w:t>组织学习、加大对标准的宣传及贯彻力度，标准委员会作为企业之间的桥梁，做好沟通工作，推进行业的进一步发展。</w:t>
      </w:r>
    </w:p>
    <w:p>
      <w:pPr>
        <w:spacing w:before="156" w:beforeLines="50" w:after="156" w:afterLines="50" w:line="360" w:lineRule="auto"/>
        <w:rPr>
          <w:rFonts w:ascii="黑体" w:hAnsi="黑体" w:eastAsia="黑体" w:cs="黑体"/>
          <w:b/>
          <w:sz w:val="32"/>
          <w:szCs w:val="32"/>
        </w:rPr>
      </w:pPr>
      <w:r>
        <w:rPr>
          <w:rFonts w:hint="eastAsia" w:ascii="黑体" w:hAnsi="黑体" w:eastAsia="黑体" w:cs="黑体"/>
          <w:b/>
          <w:sz w:val="32"/>
          <w:szCs w:val="32"/>
        </w:rPr>
        <w:t>九、废止现行有关标准的建议</w:t>
      </w:r>
    </w:p>
    <w:p>
      <w:pPr>
        <w:spacing w:before="156" w:beforeLines="50" w:after="156" w:afterLines="50" w:line="360" w:lineRule="auto"/>
        <w:ind w:firstLine="560" w:firstLineChars="200"/>
        <w:rPr>
          <w:rFonts w:ascii="仿宋" w:hAnsi="仿宋" w:eastAsia="仿宋" w:cs="仿宋"/>
          <w:b/>
          <w:sz w:val="28"/>
          <w:szCs w:val="28"/>
        </w:rPr>
      </w:pPr>
      <w:r>
        <w:rPr>
          <w:rFonts w:hint="eastAsia" w:ascii="仿宋" w:hAnsi="仿宋" w:eastAsia="仿宋" w:cs="仿宋"/>
          <w:sz w:val="28"/>
          <w:szCs w:val="28"/>
        </w:rPr>
        <w:t>本标准在编制过程中无须废止</w:t>
      </w:r>
      <w:r>
        <w:rPr>
          <w:rFonts w:ascii="仿宋" w:hAnsi="仿宋" w:eastAsia="仿宋" w:cs="仿宋"/>
          <w:sz w:val="28"/>
          <w:szCs w:val="28"/>
        </w:rPr>
        <w:t>现行有关标准</w:t>
      </w:r>
      <w:r>
        <w:rPr>
          <w:rFonts w:hint="eastAsia" w:ascii="仿宋" w:hAnsi="仿宋" w:eastAsia="仿宋" w:cs="仿宋"/>
          <w:bCs/>
          <w:sz w:val="28"/>
          <w:szCs w:val="28"/>
        </w:rPr>
        <w:t>。</w:t>
      </w:r>
    </w:p>
    <w:p>
      <w:pPr>
        <w:spacing w:before="156" w:beforeLines="50" w:after="156" w:afterLines="50" w:line="360" w:lineRule="auto"/>
        <w:rPr>
          <w:rFonts w:ascii="黑体" w:hAnsi="黑体" w:eastAsia="黑体" w:cs="黑体"/>
          <w:b/>
          <w:sz w:val="32"/>
          <w:szCs w:val="32"/>
        </w:rPr>
      </w:pPr>
      <w:r>
        <w:rPr>
          <w:rFonts w:hint="eastAsia" w:ascii="黑体" w:hAnsi="黑体" w:eastAsia="黑体" w:cs="黑体"/>
          <w:b/>
          <w:sz w:val="32"/>
          <w:szCs w:val="32"/>
        </w:rPr>
        <w:t>十、其他应予说明的事项</w:t>
      </w:r>
    </w:p>
    <w:p>
      <w:pPr>
        <w:snapToGrid w:val="0"/>
        <w:spacing w:before="156" w:beforeLines="50" w:after="156" w:afterLines="50" w:line="480" w:lineRule="auto"/>
        <w:ind w:firstLine="560" w:firstLineChars="200"/>
        <w:rPr>
          <w:rFonts w:ascii="仿宋" w:hAnsi="仿宋" w:eastAsia="仿宋" w:cs="仿宋"/>
          <w:sz w:val="28"/>
          <w:szCs w:val="28"/>
        </w:rPr>
      </w:pPr>
      <w:r>
        <w:rPr>
          <w:rFonts w:hint="eastAsia" w:ascii="仿宋" w:hAnsi="仿宋" w:eastAsia="仿宋" w:cs="仿宋"/>
          <w:sz w:val="28"/>
          <w:szCs w:val="28"/>
        </w:rPr>
        <w:t>本标准在编制过程中，得到很多专家的指导和帮助，特此表示感谢！</w:t>
      </w:r>
    </w:p>
    <w:p>
      <w:pPr>
        <w:spacing w:before="156" w:beforeLines="50" w:after="156" w:afterLines="50" w:line="360" w:lineRule="auto"/>
        <w:ind w:firstLine="562" w:firstLineChars="200"/>
        <w:rPr>
          <w:rFonts w:ascii="仿宋" w:hAnsi="仿宋" w:eastAsia="仿宋" w:cs="仿宋"/>
          <w:b/>
          <w:sz w:val="28"/>
          <w:szCs w:val="28"/>
        </w:rPr>
      </w:pPr>
    </w:p>
    <w:p>
      <w:pPr>
        <w:spacing w:before="156" w:beforeLines="50" w:after="156" w:afterLines="50" w:line="360" w:lineRule="auto"/>
        <w:ind w:firstLine="560" w:firstLineChars="200"/>
        <w:rPr>
          <w:sz w:val="28"/>
          <w:szCs w:val="28"/>
        </w:rPr>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pPr>
    </w:p>
    <w:p>
      <w:pPr>
        <w:ind w:firstLine="643"/>
        <w:jc w:val="center"/>
        <w:rPr>
          <w:rFonts w:eastAsia="黑体"/>
          <w:bCs/>
          <w:color w:val="000000"/>
          <w:kern w:val="2"/>
          <w:sz w:val="36"/>
          <w:szCs w:val="36"/>
        </w:rPr>
      </w:pPr>
      <w:r>
        <w:rPr>
          <w:rFonts w:eastAsia="黑体"/>
          <w:bCs/>
          <w:color w:val="000000"/>
          <w:kern w:val="2"/>
          <w:sz w:val="36"/>
          <w:szCs w:val="36"/>
        </w:rPr>
        <w:t>预审会议审查意见汇总处理表</w:t>
      </w:r>
    </w:p>
    <w:p>
      <w:pPr>
        <w:widowControl w:val="0"/>
        <w:snapToGrid w:val="0"/>
        <w:spacing w:line="360" w:lineRule="auto"/>
        <w:rPr>
          <w:rFonts w:eastAsia="仿宋_GB2312"/>
          <w:color w:val="000000"/>
          <w:kern w:val="2"/>
          <w:sz w:val="30"/>
          <w:szCs w:val="30"/>
        </w:rPr>
      </w:pPr>
      <w:r>
        <w:rPr>
          <w:rFonts w:eastAsia="仿宋_GB2312"/>
          <w:color w:val="000000"/>
          <w:kern w:val="2"/>
          <w:sz w:val="30"/>
          <w:szCs w:val="30"/>
        </w:rPr>
        <w:t>标准名称：</w:t>
      </w:r>
      <w:r>
        <w:rPr>
          <w:rFonts w:eastAsia="仿宋_GB2312"/>
          <w:color w:val="000000"/>
          <w:kern w:val="2"/>
          <w:sz w:val="30"/>
          <w:szCs w:val="30"/>
          <w:u w:val="single"/>
        </w:rPr>
        <w:t xml:space="preserve">  </w:t>
      </w:r>
      <w:r>
        <w:rPr>
          <w:rFonts w:hint="eastAsia" w:eastAsia="仿宋_GB2312"/>
          <w:color w:val="000000"/>
          <w:kern w:val="2"/>
          <w:sz w:val="30"/>
          <w:szCs w:val="30"/>
          <w:u w:val="single"/>
        </w:rPr>
        <w:t>生乳中体细胞数控制技术规范</w:t>
      </w:r>
      <w:r>
        <w:rPr>
          <w:rFonts w:eastAsia="仿宋_GB2312"/>
          <w:color w:val="000000"/>
          <w:kern w:val="2"/>
          <w:sz w:val="30"/>
          <w:szCs w:val="30"/>
          <w:u w:val="single"/>
        </w:rPr>
        <w:t xml:space="preserve">  </w:t>
      </w:r>
      <w:r>
        <w:rPr>
          <w:rFonts w:eastAsia="仿宋_GB2312"/>
          <w:color w:val="000000"/>
          <w:kern w:val="2"/>
          <w:sz w:val="30"/>
          <w:szCs w:val="30"/>
        </w:rPr>
        <w:t xml:space="preserve">                                       共 </w:t>
      </w:r>
      <w:r>
        <w:rPr>
          <w:rFonts w:eastAsia="仿宋_GB2312"/>
          <w:color w:val="000000"/>
          <w:kern w:val="2"/>
          <w:sz w:val="30"/>
          <w:szCs w:val="30"/>
          <w:u w:val="single"/>
        </w:rPr>
        <w:t xml:space="preserve">  </w:t>
      </w:r>
      <w:r>
        <w:rPr>
          <w:rFonts w:hint="eastAsia" w:eastAsia="仿宋_GB2312"/>
          <w:color w:val="000000"/>
          <w:kern w:val="2"/>
          <w:sz w:val="30"/>
          <w:szCs w:val="30"/>
          <w:u w:val="single"/>
          <w:lang w:val="en-US" w:eastAsia="zh-CN"/>
        </w:rPr>
        <w:t>5</w:t>
      </w:r>
      <w:r>
        <w:rPr>
          <w:rFonts w:eastAsia="仿宋_GB2312"/>
          <w:color w:val="000000"/>
          <w:kern w:val="2"/>
          <w:sz w:val="30"/>
          <w:szCs w:val="30"/>
          <w:u w:val="single"/>
        </w:rPr>
        <w:t xml:space="preserve"> </w:t>
      </w:r>
      <w:r>
        <w:rPr>
          <w:rFonts w:eastAsia="仿宋_GB2312"/>
          <w:color w:val="000000"/>
          <w:kern w:val="2"/>
          <w:sz w:val="30"/>
          <w:szCs w:val="30"/>
        </w:rPr>
        <w:t xml:space="preserve"> 页</w:t>
      </w:r>
    </w:p>
    <w:p>
      <w:pPr>
        <w:widowControl w:val="0"/>
        <w:snapToGrid w:val="0"/>
        <w:spacing w:line="360" w:lineRule="auto"/>
        <w:jc w:val="both"/>
        <w:rPr>
          <w:rFonts w:eastAsia="仿宋_GB2312"/>
          <w:color w:val="000000"/>
          <w:kern w:val="2"/>
          <w:sz w:val="30"/>
          <w:szCs w:val="30"/>
        </w:rPr>
      </w:pPr>
      <w:r>
        <w:rPr>
          <w:rFonts w:eastAsia="仿宋_GB2312"/>
          <w:color w:val="000000"/>
          <w:kern w:val="2"/>
          <w:sz w:val="30"/>
          <w:szCs w:val="30"/>
        </w:rPr>
        <w:t>标准项目承担单位：</w:t>
      </w:r>
      <w:r>
        <w:rPr>
          <w:rFonts w:hint="eastAsia" w:eastAsia="仿宋_GB2312"/>
          <w:color w:val="000000"/>
          <w:kern w:val="2"/>
          <w:sz w:val="30"/>
          <w:szCs w:val="30"/>
          <w:u w:val="single"/>
        </w:rPr>
        <w:t>中国农业科学院北京畜牧兽医研究所、农业农村部奶产品质量安全风险评估实验室（北京）、农业农村部奶及奶制品质量监督检验测试中心（北京）、青岛农业大学、安徽省农业科学院畜牧兽医研究所</w:t>
      </w:r>
      <w:r>
        <w:rPr>
          <w:rFonts w:eastAsia="仿宋_GB2312"/>
          <w:color w:val="000000"/>
          <w:kern w:val="2"/>
          <w:sz w:val="30"/>
          <w:szCs w:val="30"/>
          <w:u w:val="single"/>
        </w:rPr>
        <w:t xml:space="preserve"> </w:t>
      </w:r>
      <w:r>
        <w:rPr>
          <w:rFonts w:eastAsia="仿宋_GB2312"/>
          <w:color w:val="000000"/>
          <w:kern w:val="2"/>
          <w:sz w:val="30"/>
          <w:szCs w:val="30"/>
        </w:rPr>
        <w:t xml:space="preserve">                                                                    </w:t>
      </w:r>
      <w:r>
        <w:rPr>
          <w:rFonts w:eastAsia="仿宋_GB2312"/>
          <w:color w:val="000000"/>
          <w:kern w:val="2"/>
          <w:sz w:val="30"/>
          <w:szCs w:val="30"/>
          <w:u w:val="single"/>
        </w:rPr>
        <w:t>2021</w:t>
      </w:r>
      <w:r>
        <w:rPr>
          <w:rFonts w:eastAsia="仿宋_GB2312"/>
          <w:color w:val="000000"/>
          <w:kern w:val="2"/>
          <w:sz w:val="30"/>
          <w:szCs w:val="30"/>
        </w:rPr>
        <w:t>年</w:t>
      </w:r>
      <w:r>
        <w:rPr>
          <w:rFonts w:eastAsia="仿宋_GB2312"/>
          <w:color w:val="000000"/>
          <w:kern w:val="2"/>
          <w:sz w:val="30"/>
          <w:szCs w:val="30"/>
          <w:u w:val="single"/>
        </w:rPr>
        <w:t>8</w:t>
      </w:r>
      <w:r>
        <w:rPr>
          <w:rFonts w:eastAsia="仿宋_GB2312"/>
          <w:color w:val="000000"/>
          <w:kern w:val="2"/>
          <w:sz w:val="30"/>
          <w:szCs w:val="30"/>
        </w:rPr>
        <w:t>月</w:t>
      </w:r>
      <w:r>
        <w:rPr>
          <w:rFonts w:eastAsia="仿宋_GB2312"/>
          <w:color w:val="000000"/>
          <w:kern w:val="2"/>
          <w:sz w:val="30"/>
          <w:szCs w:val="30"/>
          <w:u w:val="single"/>
        </w:rPr>
        <w:t>3</w:t>
      </w:r>
      <w:r>
        <w:rPr>
          <w:rFonts w:eastAsia="仿宋_GB2312"/>
          <w:color w:val="000000"/>
          <w:kern w:val="2"/>
          <w:sz w:val="30"/>
          <w:szCs w:val="30"/>
        </w:rPr>
        <w:t>日填写</w:t>
      </w:r>
    </w:p>
    <w:p>
      <w:pPr>
        <w:widowControl w:val="0"/>
        <w:snapToGrid w:val="0"/>
        <w:spacing w:line="360" w:lineRule="auto"/>
        <w:jc w:val="both"/>
        <w:rPr>
          <w:rFonts w:eastAsia="仿宋_GB2312"/>
          <w:color w:val="000000"/>
          <w:kern w:val="2"/>
          <w:sz w:val="30"/>
          <w:szCs w:val="30"/>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31"/>
        <w:gridCol w:w="1708"/>
        <w:gridCol w:w="7385"/>
        <w:gridCol w:w="1534"/>
        <w:gridCol w:w="1593"/>
        <w:gridCol w:w="1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b/>
                <w:bCs/>
                <w:color w:val="000000"/>
                <w:kern w:val="2"/>
                <w:sz w:val="28"/>
                <w:szCs w:val="28"/>
                <w:lang w:val="en-US" w:eastAsia="zh-CN" w:bidi="ar-SA"/>
              </w:rPr>
            </w:pPr>
            <w:r>
              <w:rPr>
                <w:rFonts w:eastAsia="仿宋_GB2312"/>
                <w:b/>
                <w:bCs/>
                <w:color w:val="000000"/>
                <w:kern w:val="2"/>
                <w:sz w:val="28"/>
                <w:szCs w:val="28"/>
              </w:rPr>
              <w:t>序号</w:t>
            </w:r>
          </w:p>
        </w:tc>
        <w:tc>
          <w:tcPr>
            <w:tcW w:w="1708" w:type="dxa"/>
            <w:vAlign w:val="center"/>
          </w:tcPr>
          <w:p>
            <w:pPr>
              <w:widowControl w:val="0"/>
              <w:snapToGrid w:val="0"/>
              <w:spacing w:line="360" w:lineRule="auto"/>
              <w:jc w:val="center"/>
              <w:rPr>
                <w:rFonts w:ascii="Times New Roman" w:hAnsi="Times New Roman" w:eastAsia="仿宋_GB2312" w:cs="Times New Roman"/>
                <w:b/>
                <w:bCs/>
                <w:color w:val="000000"/>
                <w:kern w:val="2"/>
                <w:sz w:val="28"/>
                <w:szCs w:val="28"/>
                <w:lang w:val="en-US" w:eastAsia="zh-CN" w:bidi="ar-SA"/>
              </w:rPr>
            </w:pPr>
            <w:r>
              <w:rPr>
                <w:rFonts w:eastAsia="仿宋_GB2312"/>
                <w:b/>
                <w:bCs/>
                <w:color w:val="000000"/>
                <w:kern w:val="2"/>
                <w:sz w:val="28"/>
                <w:szCs w:val="28"/>
              </w:rPr>
              <w:t>标准章条编号</w:t>
            </w:r>
          </w:p>
        </w:tc>
        <w:tc>
          <w:tcPr>
            <w:tcW w:w="7385" w:type="dxa"/>
            <w:vAlign w:val="center"/>
          </w:tcPr>
          <w:p>
            <w:pPr>
              <w:widowControl w:val="0"/>
              <w:snapToGrid w:val="0"/>
              <w:spacing w:line="360" w:lineRule="auto"/>
              <w:jc w:val="center"/>
              <w:rPr>
                <w:rFonts w:ascii="Times New Roman" w:hAnsi="Times New Roman" w:eastAsia="仿宋_GB2312" w:cs="Times New Roman"/>
                <w:b/>
                <w:bCs/>
                <w:color w:val="000000"/>
                <w:kern w:val="2"/>
                <w:sz w:val="28"/>
                <w:szCs w:val="28"/>
                <w:lang w:val="en-US" w:eastAsia="zh-CN" w:bidi="ar-SA"/>
              </w:rPr>
            </w:pPr>
            <w:r>
              <w:rPr>
                <w:rFonts w:eastAsia="仿宋_GB2312"/>
                <w:b/>
                <w:bCs/>
                <w:color w:val="000000"/>
                <w:kern w:val="2"/>
                <w:sz w:val="28"/>
                <w:szCs w:val="28"/>
              </w:rPr>
              <w:t>意见内容</w:t>
            </w:r>
          </w:p>
        </w:tc>
        <w:tc>
          <w:tcPr>
            <w:tcW w:w="1534" w:type="dxa"/>
            <w:vAlign w:val="center"/>
          </w:tcPr>
          <w:p>
            <w:pPr>
              <w:widowControl w:val="0"/>
              <w:snapToGrid w:val="0"/>
              <w:spacing w:line="360" w:lineRule="auto"/>
              <w:jc w:val="center"/>
              <w:rPr>
                <w:rFonts w:ascii="Times New Roman" w:hAnsi="Times New Roman" w:eastAsia="仿宋_GB2312" w:cs="Times New Roman"/>
                <w:b/>
                <w:bCs/>
                <w:color w:val="000000"/>
                <w:kern w:val="2"/>
                <w:sz w:val="28"/>
                <w:szCs w:val="28"/>
                <w:lang w:val="en-US" w:eastAsia="zh-CN" w:bidi="ar-SA"/>
              </w:rPr>
            </w:pPr>
            <w:r>
              <w:rPr>
                <w:rFonts w:eastAsia="仿宋_GB2312"/>
                <w:b/>
                <w:bCs/>
                <w:color w:val="000000"/>
                <w:kern w:val="2"/>
                <w:sz w:val="28"/>
                <w:szCs w:val="28"/>
              </w:rPr>
              <w:t>提出单位</w:t>
            </w:r>
          </w:p>
        </w:tc>
        <w:tc>
          <w:tcPr>
            <w:tcW w:w="1593" w:type="dxa"/>
            <w:vAlign w:val="center"/>
          </w:tcPr>
          <w:p>
            <w:pPr>
              <w:widowControl w:val="0"/>
              <w:snapToGrid w:val="0"/>
              <w:spacing w:line="360" w:lineRule="auto"/>
              <w:jc w:val="center"/>
              <w:rPr>
                <w:rFonts w:ascii="Times New Roman" w:hAnsi="Times New Roman" w:eastAsia="仿宋_GB2312" w:cs="Times New Roman"/>
                <w:b/>
                <w:bCs/>
                <w:color w:val="000000"/>
                <w:kern w:val="2"/>
                <w:sz w:val="28"/>
                <w:szCs w:val="28"/>
                <w:lang w:val="en-US" w:eastAsia="zh-CN" w:bidi="ar-SA"/>
              </w:rPr>
            </w:pPr>
            <w:r>
              <w:rPr>
                <w:rFonts w:eastAsia="仿宋_GB2312"/>
                <w:b/>
                <w:bCs/>
                <w:color w:val="000000"/>
                <w:kern w:val="2"/>
                <w:sz w:val="28"/>
                <w:szCs w:val="28"/>
              </w:rPr>
              <w:t>处理意见</w:t>
            </w:r>
          </w:p>
        </w:tc>
        <w:tc>
          <w:tcPr>
            <w:tcW w:w="1023" w:type="dxa"/>
            <w:vAlign w:val="center"/>
          </w:tcPr>
          <w:p>
            <w:pPr>
              <w:widowControl w:val="0"/>
              <w:snapToGrid w:val="0"/>
              <w:spacing w:line="360" w:lineRule="auto"/>
              <w:jc w:val="center"/>
              <w:rPr>
                <w:rFonts w:ascii="Times New Roman" w:hAnsi="Times New Roman" w:eastAsia="仿宋_GB2312" w:cs="Times New Roman"/>
                <w:b/>
                <w:bCs/>
                <w:color w:val="000000"/>
                <w:kern w:val="2"/>
                <w:sz w:val="28"/>
                <w:szCs w:val="28"/>
                <w:lang w:val="en-US" w:eastAsia="zh-CN" w:bidi="ar-SA"/>
              </w:rPr>
            </w:pPr>
            <w:r>
              <w:rPr>
                <w:rFonts w:eastAsia="仿宋_GB2312"/>
                <w:b/>
                <w:bCs/>
                <w:color w:val="000000"/>
                <w:kern w:val="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标准名称</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标准名称修改为“生牛乳中体细胞数控制技术规范”。</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2</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第一段修改为“</w:t>
            </w:r>
            <w:r>
              <w:rPr>
                <w:rFonts w:eastAsia="仿宋_GB2312"/>
                <w:color w:val="000000"/>
                <w:kern w:val="2"/>
                <w:sz w:val="28"/>
                <w:szCs w:val="28"/>
              </w:rPr>
              <w:t>本文件规定了生牛乳生产过程中奶牛饲养管理、挤奶管理、环境和牛体卫生管理、应激管理对体细胞数控制的技术要求以及纠偏、核实、记录等措施。</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3</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第二段修改为“</w:t>
            </w:r>
            <w:r>
              <w:rPr>
                <w:rFonts w:eastAsia="仿宋_GB2312"/>
                <w:color w:val="000000"/>
                <w:kern w:val="2"/>
                <w:sz w:val="28"/>
                <w:szCs w:val="28"/>
              </w:rPr>
              <w:t>本文件适用于荷斯坦牛、娟姗牛、西门塔尔牛等养殖场生乳中体细胞数的控制，水牛和牦牛养殖场参照执行</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4</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2</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w:t>
            </w:r>
            <w:r>
              <w:rPr>
                <w:rFonts w:eastAsia="仿宋_GB2312"/>
                <w:color w:val="000000"/>
                <w:kern w:val="2"/>
                <w:sz w:val="28"/>
                <w:szCs w:val="28"/>
              </w:rPr>
              <w:t>GB 16568 奶牛场卫生规范</w:t>
            </w:r>
            <w:r>
              <w:rPr>
                <w:rFonts w:hint="eastAsia" w:eastAsia="仿宋_GB2312"/>
                <w:color w:val="000000"/>
                <w:kern w:val="2"/>
                <w:sz w:val="28"/>
                <w:szCs w:val="28"/>
              </w:rPr>
              <w:t>”修改为“</w:t>
            </w:r>
            <w:r>
              <w:rPr>
                <w:rFonts w:eastAsia="仿宋_GB2312"/>
                <w:color w:val="000000"/>
                <w:kern w:val="2"/>
                <w:sz w:val="28"/>
                <w:szCs w:val="28"/>
              </w:rPr>
              <w:t>GB/T 16568 奶牛场卫生规范</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5</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3</w:t>
            </w:r>
            <w:r>
              <w:rPr>
                <w:rFonts w:eastAsia="仿宋_GB2312"/>
                <w:color w:val="000000"/>
                <w:kern w:val="2"/>
                <w:sz w:val="28"/>
                <w:szCs w:val="28"/>
              </w:rPr>
              <w:t>.1</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修改为“每毫升生牛乳中巨噬细胞、淋巴细胞、嗜中性粒细胞及乳腺上皮细胞等细胞数的总和”。</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6</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4</w:t>
            </w:r>
            <w:r>
              <w:rPr>
                <w:rFonts w:eastAsia="仿宋_GB2312"/>
                <w:color w:val="000000"/>
                <w:kern w:val="2"/>
                <w:sz w:val="28"/>
                <w:szCs w:val="28"/>
              </w:rPr>
              <w:t>.1</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修改为“</w:t>
            </w:r>
            <w:r>
              <w:rPr>
                <w:rFonts w:eastAsia="仿宋_GB2312"/>
                <w:color w:val="000000"/>
                <w:kern w:val="2"/>
                <w:sz w:val="28"/>
                <w:szCs w:val="28"/>
              </w:rPr>
              <w:t>奶牛饲料卫生应符合GB 13078的规定；日粮营养应符合NY/T 34的规定，其中干奶期和泌乳期奶牛每头牛总维生素E摄入量宜不低于 1000 IU/d，全混合日粮中总硒元素以干物质计含 0.35 mg/kg～0.40 mg/kg</w:t>
            </w:r>
            <w:r>
              <w:rPr>
                <w:rFonts w:hint="eastAsia" w:eastAsia="仿宋_GB2312"/>
                <w:color w:val="000000"/>
                <w:kern w:val="2"/>
                <w:sz w:val="28"/>
                <w:szCs w:val="28"/>
              </w:rPr>
              <w:t>”</w:t>
            </w:r>
            <w:r>
              <w:rPr>
                <w:rFonts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7</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4</w:t>
            </w:r>
            <w:r>
              <w:rPr>
                <w:rFonts w:eastAsia="仿宋_GB2312"/>
                <w:color w:val="000000"/>
                <w:kern w:val="2"/>
                <w:sz w:val="28"/>
                <w:szCs w:val="28"/>
              </w:rPr>
              <w:t>.2.1</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修改为“</w:t>
            </w:r>
            <w:r>
              <w:rPr>
                <w:rFonts w:eastAsia="仿宋_GB2312"/>
                <w:color w:val="000000"/>
                <w:kern w:val="2"/>
                <w:sz w:val="28"/>
                <w:szCs w:val="28"/>
              </w:rPr>
              <w:t>奶牛预产期前约60 d应停止挤奶，停奶当天最后一次挤净牛乳后，每个乳区应灌注兽用抗菌药物或抗菌药物替代品以防控病原微生物感染</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8</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4.2.2</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修改为</w:t>
            </w:r>
            <w:r>
              <w:rPr>
                <w:rFonts w:eastAsia="仿宋_GB2312"/>
                <w:color w:val="000000"/>
                <w:kern w:val="2"/>
                <w:sz w:val="28"/>
                <w:szCs w:val="28"/>
              </w:rPr>
              <w:t>“母牛产犊后，对精神状况、采食或体温异常的牛应根据实际情况选择性用药”。</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9</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4</w:t>
            </w:r>
            <w:r>
              <w:rPr>
                <w:rFonts w:eastAsia="仿宋_GB2312"/>
                <w:color w:val="000000"/>
                <w:kern w:val="2"/>
                <w:sz w:val="28"/>
                <w:szCs w:val="28"/>
              </w:rPr>
              <w:t>.2.3</w:t>
            </w:r>
          </w:p>
        </w:tc>
        <w:tc>
          <w:tcPr>
            <w:tcW w:w="7385" w:type="dxa"/>
            <w:vAlign w:val="center"/>
          </w:tcPr>
          <w:p>
            <w:pPr>
              <w:widowControl w:val="0"/>
              <w:snapToGrid w:val="0"/>
              <w:spacing w:line="360" w:lineRule="auto"/>
              <w:jc w:val="both"/>
              <w:rPr>
                <w:rFonts w:eastAsia="仿宋_GB2312"/>
                <w:color w:val="000000"/>
                <w:kern w:val="2"/>
                <w:sz w:val="28"/>
                <w:szCs w:val="28"/>
              </w:rPr>
            </w:pPr>
            <w:r>
              <w:rPr>
                <w:rFonts w:hint="eastAsia" w:eastAsia="仿宋_GB2312"/>
                <w:color w:val="000000"/>
                <w:kern w:val="2"/>
                <w:sz w:val="28"/>
                <w:szCs w:val="28"/>
              </w:rPr>
              <w:t>修改为“泌乳期奶牛应每月进行一次乳中体细胞数测定或乳腺炎诊断盘诊断（评分标准见附录A）。</w:t>
            </w:r>
          </w:p>
          <w:p>
            <w:pPr>
              <w:widowControl w:val="0"/>
              <w:snapToGrid w:val="0"/>
              <w:spacing w:line="360" w:lineRule="auto"/>
              <w:jc w:val="both"/>
              <w:rPr>
                <w:rFonts w:eastAsia="仿宋_GB2312"/>
                <w:color w:val="000000"/>
                <w:kern w:val="2"/>
                <w:sz w:val="28"/>
                <w:szCs w:val="28"/>
              </w:rPr>
            </w:pPr>
            <w:r>
              <w:rPr>
                <w:rFonts w:hint="eastAsia" w:eastAsia="仿宋_GB2312"/>
                <w:color w:val="000000"/>
                <w:kern w:val="2"/>
                <w:sz w:val="28"/>
                <w:szCs w:val="28"/>
              </w:rPr>
              <w:t>当</w:t>
            </w:r>
            <w:r>
              <w:rPr>
                <w:rFonts w:eastAsia="仿宋_GB2312"/>
                <w:color w:val="000000"/>
                <w:kern w:val="2"/>
                <w:sz w:val="28"/>
                <w:szCs w:val="28"/>
              </w:rPr>
              <w:t>体细胞数</w:t>
            </w:r>
            <w:r>
              <w:rPr>
                <w:rFonts w:hint="eastAsia" w:eastAsia="仿宋_GB2312"/>
                <w:color w:val="000000"/>
                <w:kern w:val="2"/>
                <w:sz w:val="28"/>
                <w:szCs w:val="28"/>
              </w:rPr>
              <w:t>异常时，所采取的预防和处理办法，包括但不限于以下措施：</w:t>
            </w:r>
          </w:p>
          <w:p>
            <w:pPr>
              <w:widowControl w:val="0"/>
              <w:snapToGrid w:val="0"/>
              <w:spacing w:line="360" w:lineRule="auto"/>
              <w:jc w:val="both"/>
              <w:rPr>
                <w:rFonts w:eastAsia="仿宋_GB2312"/>
                <w:color w:val="000000"/>
                <w:kern w:val="2"/>
                <w:sz w:val="28"/>
                <w:szCs w:val="28"/>
              </w:rPr>
            </w:pPr>
            <w:r>
              <w:rPr>
                <w:rFonts w:hint="eastAsia" w:eastAsia="仿宋_GB2312"/>
                <w:color w:val="000000"/>
                <w:kern w:val="2"/>
                <w:sz w:val="28"/>
                <w:szCs w:val="28"/>
              </w:rPr>
              <w:t>——宜在奶牛日粮中添加胡萝卜素等进行营养调控；</w:t>
            </w:r>
          </w:p>
          <w:p>
            <w:pPr>
              <w:widowControl w:val="0"/>
              <w:snapToGrid w:val="0"/>
              <w:spacing w:line="360" w:lineRule="auto"/>
              <w:jc w:val="both"/>
              <w:rPr>
                <w:rFonts w:eastAsia="仿宋_GB2312"/>
                <w:color w:val="000000"/>
                <w:kern w:val="2"/>
                <w:sz w:val="28"/>
                <w:szCs w:val="28"/>
              </w:rPr>
            </w:pPr>
            <w:r>
              <w:rPr>
                <w:rFonts w:hint="eastAsia" w:eastAsia="仿宋_GB2312"/>
                <w:color w:val="000000"/>
                <w:kern w:val="2"/>
                <w:sz w:val="28"/>
                <w:szCs w:val="28"/>
              </w:rPr>
              <w:t>——乳汁异常或乳腺红肿等症状的临床型乳腺炎</w:t>
            </w:r>
            <w:r>
              <w:rPr>
                <w:rFonts w:eastAsia="仿宋_GB2312"/>
                <w:color w:val="000000"/>
                <w:kern w:val="2"/>
                <w:sz w:val="28"/>
                <w:szCs w:val="28"/>
              </w:rPr>
              <w:t>奶牛</w:t>
            </w:r>
            <w:r>
              <w:rPr>
                <w:rFonts w:hint="eastAsia" w:eastAsia="仿宋_GB2312"/>
                <w:color w:val="000000"/>
                <w:kern w:val="2"/>
                <w:sz w:val="28"/>
                <w:szCs w:val="28"/>
              </w:rPr>
              <w:t>应</w:t>
            </w:r>
            <w:r>
              <w:rPr>
                <w:rFonts w:eastAsia="仿宋_GB2312"/>
                <w:color w:val="000000"/>
                <w:kern w:val="2"/>
                <w:sz w:val="28"/>
                <w:szCs w:val="28"/>
              </w:rPr>
              <w:t>隔离用兽用抗菌药</w:t>
            </w:r>
            <w:r>
              <w:rPr>
                <w:rFonts w:hint="eastAsia" w:eastAsia="仿宋_GB2312"/>
                <w:color w:val="000000"/>
                <w:kern w:val="2"/>
                <w:sz w:val="28"/>
                <w:szCs w:val="28"/>
              </w:rPr>
              <w:t>物</w:t>
            </w:r>
            <w:r>
              <w:rPr>
                <w:rFonts w:eastAsia="仿宋_GB2312"/>
                <w:color w:val="000000"/>
                <w:kern w:val="2"/>
                <w:sz w:val="28"/>
                <w:szCs w:val="28"/>
              </w:rPr>
              <w:t>替代品或抗菌药</w:t>
            </w:r>
            <w:r>
              <w:rPr>
                <w:rFonts w:hint="eastAsia" w:eastAsia="仿宋_GB2312"/>
                <w:color w:val="000000"/>
                <w:kern w:val="2"/>
                <w:sz w:val="28"/>
                <w:szCs w:val="28"/>
              </w:rPr>
              <w:t>物</w:t>
            </w:r>
            <w:r>
              <w:rPr>
                <w:rFonts w:eastAsia="仿宋_GB2312"/>
                <w:color w:val="000000"/>
                <w:kern w:val="2"/>
                <w:sz w:val="28"/>
                <w:szCs w:val="28"/>
              </w:rPr>
              <w:t>治疗</w:t>
            </w:r>
            <w:r>
              <w:rPr>
                <w:rFonts w:hint="eastAsia" w:eastAsia="仿宋_GB2312"/>
                <w:color w:val="000000"/>
                <w:kern w:val="2"/>
                <w:sz w:val="28"/>
                <w:szCs w:val="28"/>
              </w:rPr>
              <w:t>；</w:t>
            </w:r>
          </w:p>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——久治不愈</w:t>
            </w:r>
            <w:r>
              <w:rPr>
                <w:rFonts w:eastAsia="仿宋_GB2312"/>
                <w:color w:val="000000"/>
                <w:kern w:val="2"/>
                <w:sz w:val="28"/>
                <w:szCs w:val="28"/>
              </w:rPr>
              <w:t>的</w:t>
            </w:r>
            <w:r>
              <w:rPr>
                <w:rFonts w:hint="eastAsia" w:eastAsia="仿宋_GB2312"/>
                <w:color w:val="000000"/>
                <w:kern w:val="2"/>
                <w:sz w:val="28"/>
                <w:szCs w:val="28"/>
              </w:rPr>
              <w:t>乳腺炎</w:t>
            </w:r>
            <w:r>
              <w:rPr>
                <w:rFonts w:eastAsia="仿宋_GB2312"/>
                <w:color w:val="000000"/>
                <w:kern w:val="2"/>
                <w:sz w:val="28"/>
                <w:szCs w:val="28"/>
              </w:rPr>
              <w:t>奶牛应淘汰</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r>
              <w:rPr>
                <w:rFonts w:eastAsia="仿宋_GB2312"/>
                <w:color w:val="000000"/>
                <w:kern w:val="2"/>
                <w:sz w:val="28"/>
                <w:szCs w:val="28"/>
              </w:rPr>
              <w:t>0</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5</w:t>
            </w:r>
            <w:r>
              <w:rPr>
                <w:rFonts w:eastAsia="仿宋_GB2312"/>
                <w:color w:val="000000"/>
                <w:kern w:val="2"/>
                <w:sz w:val="28"/>
                <w:szCs w:val="28"/>
              </w:rPr>
              <w:t>.1</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w:t>
            </w:r>
            <w:r>
              <w:rPr>
                <w:rFonts w:eastAsia="仿宋_GB2312"/>
                <w:color w:val="000000"/>
                <w:kern w:val="2"/>
                <w:sz w:val="28"/>
                <w:szCs w:val="28"/>
              </w:rPr>
              <w:t>无传染性疾病</w:t>
            </w:r>
            <w:r>
              <w:rPr>
                <w:rFonts w:hint="eastAsia" w:eastAsia="仿宋_GB2312"/>
                <w:color w:val="000000"/>
                <w:kern w:val="2"/>
                <w:sz w:val="28"/>
                <w:szCs w:val="28"/>
              </w:rPr>
              <w:t>”修改为“</w:t>
            </w:r>
            <w:r>
              <w:rPr>
                <w:rFonts w:eastAsia="仿宋_GB2312"/>
                <w:color w:val="000000"/>
                <w:kern w:val="2"/>
                <w:sz w:val="28"/>
                <w:szCs w:val="28"/>
              </w:rPr>
              <w:t>确保无布鲁氏杆菌病、结核病等人畜共患传染性疾病</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r>
              <w:rPr>
                <w:rFonts w:eastAsia="仿宋_GB2312"/>
                <w:color w:val="000000"/>
                <w:kern w:val="2"/>
                <w:sz w:val="28"/>
                <w:szCs w:val="28"/>
              </w:rPr>
              <w:t>1</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5</w:t>
            </w:r>
            <w:r>
              <w:rPr>
                <w:rFonts w:eastAsia="仿宋_GB2312"/>
                <w:color w:val="000000"/>
                <w:kern w:val="2"/>
                <w:sz w:val="28"/>
                <w:szCs w:val="28"/>
              </w:rPr>
              <w:t>.2.1</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w:t>
            </w:r>
            <w:r>
              <w:rPr>
                <w:rFonts w:eastAsia="仿宋_GB2312"/>
                <w:color w:val="000000"/>
                <w:kern w:val="2"/>
                <w:sz w:val="28"/>
                <w:szCs w:val="28"/>
              </w:rPr>
              <w:t>脉动真空压位于40～50 k</w:t>
            </w:r>
            <w:r>
              <w:rPr>
                <w:rFonts w:hint="eastAsia" w:eastAsia="仿宋_GB2312"/>
                <w:color w:val="000000"/>
                <w:kern w:val="2"/>
                <w:sz w:val="28"/>
                <w:szCs w:val="28"/>
              </w:rPr>
              <w:t>p</w:t>
            </w:r>
            <w:r>
              <w:rPr>
                <w:rFonts w:eastAsia="仿宋_GB2312"/>
                <w:color w:val="000000"/>
                <w:kern w:val="2"/>
                <w:sz w:val="28"/>
                <w:szCs w:val="28"/>
              </w:rPr>
              <w:t>a</w:t>
            </w:r>
            <w:r>
              <w:rPr>
                <w:rFonts w:hint="eastAsia" w:eastAsia="仿宋_GB2312"/>
                <w:color w:val="000000"/>
                <w:kern w:val="2"/>
                <w:sz w:val="28"/>
                <w:szCs w:val="28"/>
              </w:rPr>
              <w:t>”修改为“脉动真空压位于</w:t>
            </w:r>
            <w:r>
              <w:rPr>
                <w:rFonts w:eastAsia="仿宋_GB2312"/>
                <w:color w:val="000000"/>
                <w:kern w:val="2"/>
                <w:sz w:val="28"/>
                <w:szCs w:val="28"/>
              </w:rPr>
              <w:t xml:space="preserve">40 </w:t>
            </w:r>
            <w:r>
              <w:rPr>
                <w:rFonts w:hint="eastAsia" w:eastAsia="仿宋_GB2312"/>
                <w:color w:val="000000"/>
                <w:kern w:val="2"/>
                <w:sz w:val="28"/>
                <w:szCs w:val="28"/>
              </w:rPr>
              <w:t>k</w:t>
            </w:r>
            <w:r>
              <w:rPr>
                <w:rFonts w:eastAsia="仿宋_GB2312"/>
                <w:color w:val="000000"/>
                <w:kern w:val="2"/>
                <w:sz w:val="28"/>
                <w:szCs w:val="28"/>
              </w:rPr>
              <w:t xml:space="preserve">Pa～50 </w:t>
            </w:r>
            <w:r>
              <w:rPr>
                <w:rFonts w:hint="eastAsia" w:eastAsia="仿宋_GB2312"/>
                <w:color w:val="000000"/>
                <w:kern w:val="2"/>
                <w:sz w:val="28"/>
                <w:szCs w:val="28"/>
              </w:rPr>
              <w:t>k</w:t>
            </w:r>
            <w:r>
              <w:rPr>
                <w:rFonts w:eastAsia="仿宋_GB2312"/>
                <w:color w:val="000000"/>
                <w:kern w:val="2"/>
                <w:sz w:val="28"/>
                <w:szCs w:val="28"/>
              </w:rPr>
              <w:t>Pa</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r>
              <w:rPr>
                <w:rFonts w:eastAsia="仿宋_GB2312"/>
                <w:color w:val="000000"/>
                <w:kern w:val="2"/>
                <w:sz w:val="28"/>
                <w:szCs w:val="28"/>
              </w:rPr>
              <w:t>2</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5</w:t>
            </w:r>
            <w:r>
              <w:rPr>
                <w:rFonts w:eastAsia="仿宋_GB2312"/>
                <w:color w:val="000000"/>
                <w:kern w:val="2"/>
                <w:sz w:val="28"/>
                <w:szCs w:val="28"/>
              </w:rPr>
              <w:t>.2.2</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修改为“每三个月或半年应检测一次脉动频率，挤奶脉动频率位于</w:t>
            </w:r>
            <w:r>
              <w:rPr>
                <w:rFonts w:eastAsia="仿宋_GB2312"/>
                <w:color w:val="000000"/>
                <w:kern w:val="2"/>
                <w:sz w:val="28"/>
                <w:szCs w:val="28"/>
              </w:rPr>
              <w:t>50</w:t>
            </w:r>
            <w:r>
              <w:rPr>
                <w:rFonts w:hint="eastAsia" w:eastAsia="仿宋_GB2312"/>
                <w:color w:val="000000"/>
                <w:kern w:val="2"/>
                <w:sz w:val="28"/>
                <w:szCs w:val="28"/>
              </w:rPr>
              <w:t>次</w:t>
            </w:r>
            <w:r>
              <w:rPr>
                <w:rFonts w:eastAsia="仿宋_GB2312"/>
                <w:color w:val="000000"/>
                <w:kern w:val="2"/>
                <w:sz w:val="28"/>
                <w:szCs w:val="28"/>
              </w:rPr>
              <w:t>/min～65 次/min，应定时更换奶衬</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r>
              <w:rPr>
                <w:rFonts w:eastAsia="仿宋_GB2312"/>
                <w:color w:val="000000"/>
                <w:kern w:val="2"/>
                <w:sz w:val="28"/>
                <w:szCs w:val="28"/>
              </w:rPr>
              <w:t>3</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5</w:t>
            </w:r>
            <w:r>
              <w:rPr>
                <w:rFonts w:eastAsia="仿宋_GB2312"/>
                <w:color w:val="000000"/>
                <w:kern w:val="2"/>
                <w:sz w:val="28"/>
                <w:szCs w:val="28"/>
              </w:rPr>
              <w:t>.3</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修改为“</w:t>
            </w:r>
            <w:r>
              <w:rPr>
                <w:rFonts w:eastAsia="仿宋_GB2312"/>
                <w:color w:val="000000"/>
                <w:kern w:val="2"/>
                <w:sz w:val="28"/>
                <w:szCs w:val="28"/>
              </w:rPr>
              <w:t>挤奶前应</w:t>
            </w:r>
            <w:r>
              <w:rPr>
                <w:rFonts w:hint="eastAsia" w:eastAsia="仿宋_GB2312"/>
                <w:color w:val="000000"/>
                <w:kern w:val="2"/>
                <w:sz w:val="28"/>
                <w:szCs w:val="28"/>
              </w:rPr>
              <w:t>清洗乳头，</w:t>
            </w:r>
            <w:r>
              <w:rPr>
                <w:rFonts w:eastAsia="仿宋_GB2312"/>
                <w:color w:val="000000"/>
                <w:kern w:val="2"/>
                <w:sz w:val="28"/>
                <w:szCs w:val="28"/>
              </w:rPr>
              <w:t>前药浴，用干净毛巾或纸巾擦干，弃去头3把奶，套杯</w:t>
            </w:r>
            <w:r>
              <w:rPr>
                <w:rFonts w:hint="eastAsia" w:eastAsia="仿宋_GB2312"/>
                <w:color w:val="000000"/>
                <w:kern w:val="2"/>
                <w:sz w:val="28"/>
                <w:szCs w:val="28"/>
              </w:rPr>
              <w:t>，</w:t>
            </w:r>
            <w:r>
              <w:rPr>
                <w:rFonts w:eastAsia="仿宋_GB2312"/>
                <w:color w:val="000000"/>
                <w:kern w:val="2"/>
                <w:sz w:val="28"/>
                <w:szCs w:val="28"/>
              </w:rPr>
              <w:t>挤奶</w:t>
            </w:r>
            <w:r>
              <w:rPr>
                <w:rFonts w:hint="eastAsia" w:eastAsia="仿宋_GB2312"/>
                <w:color w:val="000000"/>
                <w:kern w:val="2"/>
                <w:sz w:val="28"/>
                <w:szCs w:val="28"/>
              </w:rPr>
              <w:t>前</w:t>
            </w:r>
            <w:r>
              <w:rPr>
                <w:rFonts w:eastAsia="仿宋_GB2312"/>
                <w:color w:val="000000"/>
                <w:kern w:val="2"/>
                <w:sz w:val="28"/>
                <w:szCs w:val="28"/>
              </w:rPr>
              <w:t>后应用包含但不限于含碘药浴液药浴</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r>
              <w:rPr>
                <w:rFonts w:eastAsia="仿宋_GB2312"/>
                <w:color w:val="000000"/>
                <w:kern w:val="2"/>
                <w:sz w:val="28"/>
                <w:szCs w:val="28"/>
              </w:rPr>
              <w:t>4</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5</w:t>
            </w:r>
            <w:r>
              <w:rPr>
                <w:rFonts w:eastAsia="仿宋_GB2312"/>
                <w:color w:val="000000"/>
                <w:kern w:val="2"/>
                <w:sz w:val="28"/>
                <w:szCs w:val="28"/>
              </w:rPr>
              <w:t>.4.1</w:t>
            </w:r>
            <w:r>
              <w:rPr>
                <w:rFonts w:hint="eastAsia" w:eastAsia="仿宋_GB2312"/>
                <w:color w:val="000000"/>
                <w:kern w:val="2"/>
                <w:sz w:val="28"/>
                <w:szCs w:val="28"/>
              </w:rPr>
              <w:t>/</w:t>
            </w:r>
            <w:r>
              <w:rPr>
                <w:rFonts w:eastAsia="仿宋_GB2312"/>
                <w:color w:val="000000"/>
                <w:kern w:val="2"/>
                <w:sz w:val="28"/>
                <w:szCs w:val="28"/>
              </w:rPr>
              <w:t xml:space="preserve"> 5.4.2</w:t>
            </w:r>
          </w:p>
        </w:tc>
        <w:tc>
          <w:tcPr>
            <w:tcW w:w="7385" w:type="dxa"/>
            <w:vAlign w:val="center"/>
          </w:tcPr>
          <w:p>
            <w:pPr>
              <w:widowControl w:val="0"/>
              <w:snapToGrid w:val="0"/>
              <w:spacing w:line="360" w:lineRule="auto"/>
              <w:jc w:val="both"/>
              <w:rPr>
                <w:rFonts w:eastAsia="仿宋_GB2312"/>
                <w:color w:val="000000"/>
                <w:kern w:val="2"/>
                <w:sz w:val="28"/>
                <w:szCs w:val="28"/>
              </w:rPr>
            </w:pPr>
            <w:r>
              <w:rPr>
                <w:rFonts w:hint="eastAsia" w:eastAsia="仿宋_GB2312"/>
                <w:color w:val="000000"/>
                <w:kern w:val="2"/>
                <w:sz w:val="28"/>
                <w:szCs w:val="28"/>
              </w:rPr>
              <w:t>合并且修改为“所采取处理方法，包括但不限于以下措施：</w:t>
            </w:r>
          </w:p>
          <w:p>
            <w:pPr>
              <w:widowControl w:val="0"/>
              <w:snapToGrid w:val="0"/>
              <w:spacing w:line="360" w:lineRule="auto"/>
              <w:jc w:val="both"/>
              <w:rPr>
                <w:rFonts w:eastAsia="仿宋_GB2312"/>
                <w:color w:val="000000"/>
                <w:kern w:val="2"/>
                <w:sz w:val="28"/>
                <w:szCs w:val="28"/>
              </w:rPr>
            </w:pPr>
            <w:r>
              <w:rPr>
                <w:rFonts w:hint="eastAsia" w:eastAsia="仿宋_GB2312"/>
                <w:color w:val="000000"/>
                <w:kern w:val="2"/>
                <w:sz w:val="28"/>
                <w:szCs w:val="28"/>
              </w:rPr>
              <w:t>——头3把奶异常或乳腺红肿的奶牛应及时隔离、治疗；</w:t>
            </w:r>
          </w:p>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——接触</w:t>
            </w:r>
            <w:r>
              <w:rPr>
                <w:rFonts w:eastAsia="仿宋_GB2312"/>
                <w:color w:val="000000"/>
                <w:kern w:val="2"/>
                <w:sz w:val="28"/>
                <w:szCs w:val="28"/>
              </w:rPr>
              <w:t>头3把奶异常的人员，</w:t>
            </w:r>
            <w:r>
              <w:rPr>
                <w:rFonts w:hint="eastAsia" w:eastAsia="仿宋_GB2312"/>
                <w:color w:val="000000"/>
                <w:kern w:val="2"/>
                <w:sz w:val="28"/>
                <w:szCs w:val="28"/>
              </w:rPr>
              <w:t>应清洗双手消毒，更换一次性手套后再对其它牛只进行挤奶操作”。</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r>
              <w:rPr>
                <w:rFonts w:eastAsia="仿宋_GB2312"/>
                <w:color w:val="000000"/>
                <w:kern w:val="2"/>
                <w:sz w:val="28"/>
                <w:szCs w:val="28"/>
              </w:rPr>
              <w:t>5</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5</w:t>
            </w:r>
            <w:r>
              <w:rPr>
                <w:rFonts w:eastAsia="仿宋_GB2312"/>
                <w:color w:val="000000"/>
                <w:kern w:val="2"/>
                <w:sz w:val="28"/>
                <w:szCs w:val="28"/>
              </w:rPr>
              <w:t>.5</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乳头评分修改为“乳头评价”；“</w:t>
            </w:r>
            <w:r>
              <w:rPr>
                <w:rFonts w:eastAsia="仿宋_GB2312"/>
                <w:color w:val="000000"/>
                <w:kern w:val="2"/>
                <w:sz w:val="28"/>
                <w:szCs w:val="28"/>
              </w:rPr>
              <w:t>…</w:t>
            </w:r>
            <w:r>
              <w:rPr>
                <w:rFonts w:hint="eastAsia" w:eastAsia="仿宋_GB2312"/>
                <w:color w:val="000000"/>
                <w:kern w:val="2"/>
                <w:sz w:val="28"/>
                <w:szCs w:val="28"/>
              </w:rPr>
              <w:t>评分应在</w:t>
            </w:r>
            <w:r>
              <w:rPr>
                <w:rFonts w:eastAsia="仿宋_GB2312"/>
                <w:color w:val="000000"/>
                <w:kern w:val="2"/>
                <w:sz w:val="28"/>
                <w:szCs w:val="28"/>
              </w:rPr>
              <w:t>3分以内，见附录B.</w:t>
            </w:r>
            <w:r>
              <w:rPr>
                <w:rFonts w:hint="eastAsia" w:eastAsia="仿宋_GB2312"/>
                <w:color w:val="000000"/>
                <w:kern w:val="2"/>
                <w:sz w:val="28"/>
                <w:szCs w:val="28"/>
              </w:rPr>
              <w:t>1”修改为“</w:t>
            </w:r>
            <w:r>
              <w:rPr>
                <w:rFonts w:eastAsia="仿宋_GB2312"/>
                <w:color w:val="000000"/>
                <w:kern w:val="2"/>
                <w:sz w:val="28"/>
                <w:szCs w:val="28"/>
              </w:rPr>
              <w:t>…</w:t>
            </w:r>
            <w:r>
              <w:rPr>
                <w:rFonts w:hint="eastAsia" w:eastAsia="仿宋_GB2312"/>
                <w:color w:val="000000"/>
                <w:kern w:val="2"/>
                <w:sz w:val="28"/>
                <w:szCs w:val="28"/>
              </w:rPr>
              <w:t>评价宜在</w:t>
            </w:r>
            <w:r>
              <w:rPr>
                <w:rFonts w:eastAsia="仿宋_GB2312"/>
                <w:color w:val="000000"/>
                <w:kern w:val="2"/>
                <w:sz w:val="28"/>
                <w:szCs w:val="28"/>
              </w:rPr>
              <w:t>3分以内，见附录B</w:t>
            </w:r>
            <w:r>
              <w:rPr>
                <w:rFonts w:hint="eastAsia" w:eastAsia="仿宋_GB2312"/>
                <w:color w:val="000000"/>
                <w:kern w:val="2"/>
                <w:sz w:val="28"/>
                <w:szCs w:val="28"/>
              </w:rPr>
              <w:t>”</w:t>
            </w:r>
            <w:r>
              <w:rPr>
                <w:rFonts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r>
              <w:rPr>
                <w:rFonts w:eastAsia="仿宋_GB2312"/>
                <w:color w:val="000000"/>
                <w:kern w:val="2"/>
                <w:sz w:val="28"/>
                <w:szCs w:val="28"/>
              </w:rPr>
              <w:t>6</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6</w:t>
            </w:r>
            <w:r>
              <w:rPr>
                <w:rFonts w:eastAsia="仿宋_GB2312"/>
                <w:color w:val="000000"/>
                <w:kern w:val="2"/>
                <w:sz w:val="28"/>
                <w:szCs w:val="28"/>
              </w:rPr>
              <w:t>.1</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修改为“奶牛养殖场环境卫生应符合</w:t>
            </w:r>
            <w:r>
              <w:rPr>
                <w:rFonts w:eastAsia="仿宋_GB2312"/>
                <w:color w:val="000000"/>
                <w:kern w:val="2"/>
                <w:sz w:val="28"/>
                <w:szCs w:val="28"/>
              </w:rPr>
              <w:t>GB/T 16568的规定</w:t>
            </w:r>
            <w:r>
              <w:rPr>
                <w:rFonts w:hint="eastAsia" w:eastAsia="仿宋_GB2312"/>
                <w:color w:val="000000"/>
                <w:kern w:val="2"/>
                <w:sz w:val="28"/>
                <w:szCs w:val="28"/>
              </w:rPr>
              <w:t>。</w:t>
            </w:r>
            <w:r>
              <w:rPr>
                <w:rFonts w:eastAsia="仿宋_GB2312"/>
                <w:color w:val="000000"/>
                <w:kern w:val="2"/>
                <w:sz w:val="28"/>
                <w:szCs w:val="28"/>
              </w:rPr>
              <w:t>牛床</w:t>
            </w:r>
            <w:r>
              <w:rPr>
                <w:rFonts w:hint="eastAsia" w:eastAsia="仿宋_GB2312"/>
                <w:color w:val="000000"/>
                <w:kern w:val="2"/>
                <w:sz w:val="28"/>
                <w:szCs w:val="28"/>
              </w:rPr>
              <w:t>宜采用</w:t>
            </w:r>
            <w:r>
              <w:rPr>
                <w:rFonts w:eastAsia="仿宋_GB2312"/>
                <w:color w:val="000000"/>
                <w:kern w:val="2"/>
                <w:sz w:val="28"/>
                <w:szCs w:val="28"/>
              </w:rPr>
              <w:t>包含但不限于沙子、稻壳、发酵后的</w:t>
            </w:r>
            <w:r>
              <w:rPr>
                <w:rFonts w:hint="eastAsia" w:eastAsia="仿宋_GB2312"/>
                <w:color w:val="000000"/>
                <w:kern w:val="2"/>
                <w:sz w:val="28"/>
                <w:szCs w:val="28"/>
              </w:rPr>
              <w:t>干</w:t>
            </w:r>
            <w:r>
              <w:rPr>
                <w:rFonts w:eastAsia="仿宋_GB2312"/>
                <w:color w:val="000000"/>
                <w:kern w:val="2"/>
                <w:sz w:val="28"/>
                <w:szCs w:val="28"/>
              </w:rPr>
              <w:t>牛粪</w:t>
            </w:r>
            <w:r>
              <w:rPr>
                <w:rFonts w:hint="eastAsia" w:eastAsia="仿宋_GB2312"/>
                <w:color w:val="000000"/>
                <w:kern w:val="2"/>
                <w:sz w:val="28"/>
                <w:szCs w:val="28"/>
              </w:rPr>
              <w:t>等</w:t>
            </w:r>
            <w:r>
              <w:rPr>
                <w:rFonts w:eastAsia="仿宋_GB2312"/>
                <w:color w:val="000000"/>
                <w:kern w:val="2"/>
                <w:sz w:val="28"/>
                <w:szCs w:val="28"/>
              </w:rPr>
              <w:t>垫料，并及时清理粪污</w:t>
            </w:r>
            <w:r>
              <w:rPr>
                <w:rFonts w:hint="eastAsia" w:eastAsia="仿宋_GB2312"/>
                <w:color w:val="000000"/>
                <w:kern w:val="2"/>
                <w:sz w:val="28"/>
                <w:szCs w:val="28"/>
              </w:rPr>
              <w:t>，</w:t>
            </w:r>
            <w:r>
              <w:rPr>
                <w:rFonts w:eastAsia="仿宋_GB2312"/>
                <w:color w:val="000000"/>
                <w:kern w:val="2"/>
                <w:sz w:val="28"/>
                <w:szCs w:val="28"/>
              </w:rPr>
              <w:t>应保持牛床清洁干净”</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r>
              <w:rPr>
                <w:rFonts w:eastAsia="仿宋_GB2312"/>
                <w:color w:val="000000"/>
                <w:kern w:val="2"/>
                <w:sz w:val="28"/>
                <w:szCs w:val="28"/>
              </w:rPr>
              <w:t>7</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6</w:t>
            </w:r>
            <w:r>
              <w:rPr>
                <w:rFonts w:eastAsia="仿宋_GB2312"/>
                <w:color w:val="000000"/>
                <w:kern w:val="2"/>
                <w:sz w:val="28"/>
                <w:szCs w:val="28"/>
              </w:rPr>
              <w:t>.2.1</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删除“乳房清洁度评分</w:t>
            </w:r>
            <w:r>
              <w:rPr>
                <w:rFonts w:eastAsia="仿宋_GB2312"/>
                <w:color w:val="000000"/>
                <w:kern w:val="2"/>
                <w:sz w:val="28"/>
                <w:szCs w:val="28"/>
              </w:rPr>
              <w:t>”</w:t>
            </w:r>
            <w:r>
              <w:rPr>
                <w:rFonts w:hint="eastAsia" w:eastAsia="仿宋_GB2312"/>
                <w:color w:val="000000"/>
                <w:kern w:val="2"/>
                <w:sz w:val="28"/>
                <w:szCs w:val="28"/>
              </w:rPr>
              <w:t>的“评分”；内容修改为“泌乳牛群乳房表面清洁度评分应在</w:t>
            </w:r>
            <w:r>
              <w:rPr>
                <w:rFonts w:eastAsia="仿宋_GB2312"/>
                <w:color w:val="000000"/>
                <w:kern w:val="2"/>
                <w:sz w:val="28"/>
                <w:szCs w:val="28"/>
              </w:rPr>
              <w:t>3分以内，见附录C</w:t>
            </w:r>
            <w:r>
              <w:rPr>
                <w:rFonts w:hint="eastAsia" w:eastAsia="仿宋_GB2312"/>
                <w:color w:val="000000"/>
                <w:kern w:val="2"/>
                <w:sz w:val="28"/>
                <w:szCs w:val="28"/>
              </w:rPr>
              <w:t>”</w:t>
            </w:r>
            <w:r>
              <w:rPr>
                <w:rFonts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18</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6</w:t>
            </w:r>
            <w:r>
              <w:rPr>
                <w:rFonts w:eastAsia="仿宋_GB2312"/>
                <w:color w:val="000000"/>
                <w:kern w:val="2"/>
                <w:sz w:val="28"/>
                <w:szCs w:val="28"/>
              </w:rPr>
              <w:t>.2.2</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删除“肢蹄清洁度评分”中的“评分”。</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r>
              <w:rPr>
                <w:rFonts w:eastAsia="仿宋_GB2312"/>
                <w:color w:val="000000"/>
                <w:kern w:val="2"/>
                <w:sz w:val="28"/>
                <w:szCs w:val="28"/>
              </w:rPr>
              <w:t>9</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7</w:t>
            </w:r>
            <w:r>
              <w:rPr>
                <w:rFonts w:eastAsia="仿宋_GB2312"/>
                <w:color w:val="000000"/>
                <w:kern w:val="2"/>
                <w:sz w:val="28"/>
                <w:szCs w:val="28"/>
              </w:rPr>
              <w:t>.1.1</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“低温应激防护”修改为“冷应激防护”；内容修改为“</w:t>
            </w:r>
            <w:r>
              <w:rPr>
                <w:rFonts w:eastAsia="仿宋_GB2312"/>
                <w:color w:val="000000"/>
                <w:kern w:val="2"/>
                <w:sz w:val="28"/>
                <w:szCs w:val="28"/>
              </w:rPr>
              <w:t>冬季牛舍应做好防风防寒，当牛舍温度低于0℃时，宜挂门卷帘、设挡风屏障等措施提高保温性能。</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20</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7</w:t>
            </w:r>
            <w:r>
              <w:rPr>
                <w:rFonts w:eastAsia="仿宋_GB2312"/>
                <w:color w:val="000000"/>
                <w:kern w:val="2"/>
                <w:sz w:val="28"/>
                <w:szCs w:val="28"/>
              </w:rPr>
              <w:t>.1.2</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修改为“牛舍温湿度指数评价应按照</w:t>
            </w:r>
            <w:r>
              <w:rPr>
                <w:rFonts w:eastAsia="仿宋_GB2312"/>
                <w:color w:val="000000"/>
                <w:kern w:val="2"/>
                <w:sz w:val="28"/>
                <w:szCs w:val="28"/>
              </w:rPr>
              <w:t>NY/T 2363规定，当温湿度指数大于</w:t>
            </w:r>
            <w:r>
              <w:rPr>
                <w:rFonts w:hint="eastAsia" w:eastAsia="仿宋_GB2312"/>
                <w:color w:val="000000"/>
                <w:kern w:val="2"/>
                <w:sz w:val="28"/>
                <w:szCs w:val="28"/>
              </w:rPr>
              <w:t>6</w:t>
            </w:r>
            <w:r>
              <w:rPr>
                <w:rFonts w:eastAsia="仿宋_GB2312"/>
                <w:color w:val="000000"/>
                <w:kern w:val="2"/>
                <w:sz w:val="28"/>
                <w:szCs w:val="28"/>
              </w:rPr>
              <w:t>8</w:t>
            </w:r>
            <w:r>
              <w:rPr>
                <w:rFonts w:hint="eastAsia" w:eastAsia="仿宋_GB2312"/>
                <w:color w:val="000000"/>
                <w:kern w:val="2"/>
                <w:sz w:val="28"/>
                <w:szCs w:val="28"/>
              </w:rPr>
              <w:t>时</w:t>
            </w:r>
            <w:r>
              <w:rPr>
                <w:rFonts w:eastAsia="仿宋_GB2312"/>
                <w:color w:val="000000"/>
                <w:kern w:val="2"/>
                <w:sz w:val="28"/>
                <w:szCs w:val="28"/>
              </w:rPr>
              <w:t>，</w:t>
            </w:r>
            <w:r>
              <w:rPr>
                <w:rFonts w:hint="eastAsia" w:eastAsia="仿宋_GB2312"/>
                <w:color w:val="000000"/>
                <w:kern w:val="2"/>
                <w:sz w:val="28"/>
                <w:szCs w:val="28"/>
              </w:rPr>
              <w:t>宜</w:t>
            </w:r>
            <w:r>
              <w:rPr>
                <w:rFonts w:eastAsia="仿宋_GB2312"/>
                <w:color w:val="000000"/>
                <w:kern w:val="2"/>
                <w:sz w:val="28"/>
                <w:szCs w:val="28"/>
              </w:rPr>
              <w:t>采用遮阳、开风机通风和喷雾喷淋等措施，缓解热应激</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2</w:t>
            </w:r>
            <w:r>
              <w:rPr>
                <w:rFonts w:eastAsia="仿宋_GB2312"/>
                <w:color w:val="000000"/>
                <w:kern w:val="2"/>
                <w:sz w:val="28"/>
                <w:szCs w:val="28"/>
              </w:rPr>
              <w:t>1</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9</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修改为“当奶罐中乳体细胞数超过</w:t>
            </w:r>
            <w:r>
              <w:rPr>
                <w:rFonts w:eastAsia="仿宋_GB2312"/>
                <w:color w:val="000000"/>
                <w:kern w:val="2"/>
                <w:sz w:val="28"/>
                <w:szCs w:val="28"/>
              </w:rPr>
              <w:t>400000 scc/mL时，按第4章</w:t>
            </w:r>
            <w:r>
              <w:rPr>
                <w:rFonts w:hint="eastAsia" w:eastAsia="仿宋_GB2312"/>
                <w:color w:val="000000"/>
                <w:kern w:val="2"/>
                <w:sz w:val="28"/>
                <w:szCs w:val="28"/>
              </w:rPr>
              <w:t>至</w:t>
            </w:r>
            <w:r>
              <w:rPr>
                <w:rFonts w:eastAsia="仿宋_GB2312"/>
                <w:color w:val="000000"/>
                <w:kern w:val="2"/>
                <w:sz w:val="28"/>
                <w:szCs w:val="28"/>
              </w:rPr>
              <w:t>第7章的要求逐项检查，并制定纠偏实施方案。</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2</w:t>
            </w:r>
            <w:r>
              <w:rPr>
                <w:rFonts w:eastAsia="仿宋_GB2312"/>
                <w:color w:val="000000"/>
                <w:kern w:val="2"/>
                <w:sz w:val="28"/>
                <w:szCs w:val="28"/>
              </w:rPr>
              <w:t>2</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r>
              <w:rPr>
                <w:rFonts w:eastAsia="仿宋_GB2312"/>
                <w:color w:val="000000"/>
                <w:kern w:val="2"/>
                <w:sz w:val="28"/>
                <w:szCs w:val="28"/>
              </w:rPr>
              <w:t>0</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修改为“</w:t>
            </w:r>
            <w:r>
              <w:rPr>
                <w:rFonts w:eastAsia="仿宋_GB2312"/>
                <w:color w:val="000000"/>
                <w:kern w:val="2"/>
                <w:sz w:val="28"/>
                <w:szCs w:val="28"/>
              </w:rPr>
              <w:t>当奶罐中乳体细胞数超过400000 scc/mL时，按第9章要求进行纠偏核实，直至连续3 d乳体细胞数小于400000 scc/mL为止</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2</w:t>
            </w:r>
            <w:r>
              <w:rPr>
                <w:rFonts w:eastAsia="仿宋_GB2312"/>
                <w:color w:val="000000"/>
                <w:kern w:val="2"/>
                <w:sz w:val="28"/>
                <w:szCs w:val="28"/>
              </w:rPr>
              <w:t>3</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1</w:t>
            </w:r>
            <w:r>
              <w:rPr>
                <w:rFonts w:eastAsia="仿宋_GB2312"/>
                <w:color w:val="000000"/>
                <w:kern w:val="2"/>
                <w:sz w:val="28"/>
                <w:szCs w:val="28"/>
              </w:rPr>
              <w:t>1</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增加“</w:t>
            </w:r>
            <w:r>
              <w:rPr>
                <w:rFonts w:eastAsia="仿宋_GB2312"/>
                <w:color w:val="000000"/>
                <w:kern w:val="2"/>
                <w:sz w:val="28"/>
                <w:szCs w:val="28"/>
              </w:rPr>
              <w:t>奶牛群体生产性能测定记录</w:t>
            </w:r>
            <w:r>
              <w:rPr>
                <w:rFonts w:hint="eastAsia" w:eastAsia="仿宋_GB2312"/>
                <w:color w:val="000000"/>
                <w:kern w:val="2"/>
                <w:sz w:val="28"/>
                <w:szCs w:val="28"/>
              </w:rPr>
              <w:t>”</w:t>
            </w:r>
            <w:r>
              <w:rPr>
                <w:rFonts w:eastAsia="仿宋_GB2312"/>
                <w:color w:val="000000"/>
                <w:kern w:val="2"/>
                <w:sz w:val="28"/>
                <w:szCs w:val="28"/>
              </w:rPr>
              <w:t xml:space="preserve"> </w:t>
            </w:r>
            <w:r>
              <w:rPr>
                <w:rFonts w:hint="eastAsia" w:eastAsia="仿宋_GB2312"/>
                <w:color w:val="000000"/>
                <w:kern w:val="2"/>
                <w:sz w:val="28"/>
                <w:szCs w:val="28"/>
              </w:rPr>
              <w:t>。</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2</w:t>
            </w:r>
            <w:r>
              <w:rPr>
                <w:rFonts w:eastAsia="仿宋_GB2312"/>
                <w:color w:val="000000"/>
                <w:kern w:val="2"/>
                <w:sz w:val="28"/>
                <w:szCs w:val="28"/>
              </w:rPr>
              <w:t>4</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附录A</w:t>
            </w:r>
            <w:r>
              <w:rPr>
                <w:rFonts w:eastAsia="仿宋_GB2312"/>
                <w:color w:val="000000"/>
                <w:kern w:val="2"/>
                <w:sz w:val="28"/>
                <w:szCs w:val="28"/>
              </w:rPr>
              <w:t>-D</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增加引导语表述，提高图片质量。</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2</w:t>
            </w:r>
            <w:r>
              <w:rPr>
                <w:rFonts w:eastAsia="仿宋_GB2312"/>
                <w:color w:val="000000"/>
                <w:kern w:val="2"/>
                <w:sz w:val="28"/>
                <w:szCs w:val="28"/>
              </w:rPr>
              <w:t>5</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编制说明</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根据重要性调整制定编写依据中体细胞数确定依据，地标和团标可不作为参考依据。</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26</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编制说明</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定向征求意见部分按乳企、科研机构高校等类别进行区分。</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27</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编制说明</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采用国际标准部分按照实际情况修改。</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28</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编制说明</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补充美国和欧盟体细胞数纠偏操作流程。</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29</w:t>
            </w:r>
          </w:p>
        </w:tc>
        <w:tc>
          <w:tcPr>
            <w:tcW w:w="1708"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编制说明</w:t>
            </w:r>
          </w:p>
        </w:tc>
        <w:tc>
          <w:tcPr>
            <w:tcW w:w="7385" w:type="dxa"/>
            <w:vAlign w:val="center"/>
          </w:tcPr>
          <w:p>
            <w:pPr>
              <w:widowControl w:val="0"/>
              <w:snapToGrid w:val="0"/>
              <w:spacing w:line="360" w:lineRule="auto"/>
              <w:jc w:val="both"/>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统一体细胞的计数单位。</w:t>
            </w:r>
          </w:p>
        </w:tc>
        <w:tc>
          <w:tcPr>
            <w:tcW w:w="1534"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eastAsia="仿宋_GB2312"/>
                <w:color w:val="000000"/>
                <w:kern w:val="2"/>
                <w:sz w:val="28"/>
                <w:szCs w:val="28"/>
              </w:rPr>
              <w:t>专家组</w:t>
            </w:r>
          </w:p>
        </w:tc>
        <w:tc>
          <w:tcPr>
            <w:tcW w:w="1593" w:type="dxa"/>
            <w:vAlign w:val="center"/>
          </w:tcPr>
          <w:p>
            <w:pPr>
              <w:widowControl w:val="0"/>
              <w:snapToGrid w:val="0"/>
              <w:spacing w:line="360" w:lineRule="auto"/>
              <w:jc w:val="center"/>
              <w:rPr>
                <w:rFonts w:ascii="Times New Roman" w:hAnsi="Times New Roman" w:eastAsia="仿宋_GB2312" w:cs="Times New Roman"/>
                <w:color w:val="000000"/>
                <w:kern w:val="2"/>
                <w:sz w:val="28"/>
                <w:szCs w:val="28"/>
                <w:lang w:val="en-US" w:eastAsia="zh-CN" w:bidi="ar-SA"/>
              </w:rPr>
            </w:pPr>
            <w:r>
              <w:rPr>
                <w:rFonts w:hint="eastAsia" w:eastAsia="仿宋_GB2312"/>
                <w:color w:val="000000"/>
                <w:kern w:val="2"/>
                <w:sz w:val="28"/>
                <w:szCs w:val="28"/>
              </w:rPr>
              <w:t>采纳</w:t>
            </w:r>
          </w:p>
        </w:tc>
        <w:tc>
          <w:tcPr>
            <w:tcW w:w="1023" w:type="dxa"/>
          </w:tcPr>
          <w:p>
            <w:pPr>
              <w:widowControl w:val="0"/>
              <w:snapToGrid w:val="0"/>
              <w:spacing w:line="360" w:lineRule="auto"/>
              <w:jc w:val="both"/>
              <w:rPr>
                <w:rFonts w:eastAsia="仿宋_GB2312"/>
                <w:color w:val="000000"/>
                <w:kern w:val="2"/>
                <w:sz w:val="28"/>
                <w:szCs w:val="28"/>
                <w:vertAlign w:val="baseline"/>
              </w:rPr>
            </w:pPr>
          </w:p>
        </w:tc>
      </w:tr>
    </w:tbl>
    <w:p>
      <w:pPr>
        <w:widowControl w:val="0"/>
        <w:snapToGrid w:val="0"/>
        <w:jc w:val="center"/>
        <w:rPr>
          <w:rFonts w:eastAsia="仿宋_GB2312"/>
          <w:color w:val="000000"/>
          <w:kern w:val="2"/>
          <w:sz w:val="24"/>
          <w:szCs w:val="24"/>
        </w:rPr>
      </w:pPr>
    </w:p>
    <w:p>
      <w:pPr>
        <w:widowControl w:val="0"/>
        <w:jc w:val="both"/>
        <w:rPr>
          <w:kern w:val="2"/>
          <w:sz w:val="32"/>
          <w:szCs w:val="36"/>
        </w:rPr>
      </w:pPr>
      <w:r>
        <w:rPr>
          <w:rFonts w:hint="eastAsia" w:eastAsia="仿宋_GB2312"/>
          <w:color w:val="000000"/>
          <w:kern w:val="2"/>
          <w:sz w:val="28"/>
          <w:szCs w:val="28"/>
        </w:rPr>
        <w:t>说明：意见共计</w:t>
      </w:r>
      <w:r>
        <w:rPr>
          <w:rFonts w:eastAsia="仿宋_GB2312"/>
          <w:color w:val="000000"/>
          <w:kern w:val="2"/>
          <w:sz w:val="28"/>
          <w:szCs w:val="28"/>
        </w:rPr>
        <w:t>29条，</w:t>
      </w:r>
      <w:r>
        <w:rPr>
          <w:rFonts w:hint="eastAsia" w:eastAsia="仿宋_GB2312"/>
          <w:color w:val="000000"/>
          <w:kern w:val="2"/>
          <w:sz w:val="28"/>
          <w:szCs w:val="28"/>
        </w:rPr>
        <w:t>全部</w:t>
      </w:r>
      <w:r>
        <w:rPr>
          <w:rFonts w:eastAsia="仿宋_GB2312"/>
          <w:color w:val="000000"/>
          <w:kern w:val="2"/>
          <w:sz w:val="28"/>
          <w:szCs w:val="28"/>
        </w:rPr>
        <w:t>采纳。</w:t>
      </w:r>
      <w:r>
        <w:rPr>
          <w:rFonts w:hint="eastAsia" w:eastAsia="仿宋_GB2312"/>
          <w:color w:val="000000"/>
          <w:kern w:val="2"/>
          <w:sz w:val="28"/>
          <w:szCs w:val="28"/>
        </w:rPr>
        <w:t xml:space="preserve"> </w:t>
      </w:r>
      <w:r>
        <w:rPr>
          <w:rFonts w:hint="eastAsia" w:eastAsia="仿宋_GB2312"/>
          <w:color w:val="000000"/>
          <w:kern w:val="2"/>
          <w:sz w:val="24"/>
          <w:szCs w:val="24"/>
        </w:rPr>
        <w:t xml:space="preserve">                       </w:t>
      </w:r>
      <w:r>
        <w:rPr>
          <w:kern w:val="2"/>
          <w:sz w:val="32"/>
          <w:szCs w:val="36"/>
        </w:rPr>
        <w:t xml:space="preserve">                                                   </w:t>
      </w:r>
      <w:r>
        <w:rPr>
          <w:rFonts w:hint="eastAsia"/>
          <w:kern w:val="2"/>
          <w:sz w:val="32"/>
          <w:szCs w:val="36"/>
        </w:rPr>
        <w:t xml:space="preserve">                    </w:t>
      </w:r>
    </w:p>
    <w:p>
      <w:pPr>
        <w:widowControl w:val="0"/>
        <w:spacing w:line="360" w:lineRule="auto"/>
        <w:jc w:val="center"/>
      </w:pPr>
      <w:r>
        <w:rPr>
          <w:rFonts w:hint="eastAsia"/>
          <w:kern w:val="2"/>
          <w:sz w:val="32"/>
          <w:szCs w:val="36"/>
        </w:rPr>
        <w:t xml:space="preserve">                                      </w:t>
      </w:r>
    </w:p>
    <w:sectPr>
      <w:pgSz w:w="16838" w:h="11906" w:orient="landscape"/>
      <w:pgMar w:top="1474" w:right="1440" w:bottom="1474" w:left="144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5034083"/>
      <w:docPartObj>
        <w:docPartGallery w:val="autotext"/>
      </w:docPartObj>
    </w:sdtPr>
    <w:sdtContent>
      <w:p>
        <w:pPr>
          <w:pStyle w:val="8"/>
          <w:jc w:val="center"/>
        </w:pPr>
        <w:r>
          <w:fldChar w:fldCharType="begin"/>
        </w:r>
        <w:r>
          <w:instrText xml:space="preserve">PAGE   \* MERGEFORMAT</w:instrText>
        </w:r>
        <w:r>
          <w:fldChar w:fldCharType="separate"/>
        </w:r>
        <w:r>
          <w:rPr>
            <w:lang w:val="zh-CN"/>
          </w:rPr>
          <w:t>1</w:t>
        </w:r>
        <w:r>
          <w:fldChar w:fldCharType="end"/>
        </w:r>
      </w:p>
    </w:sdtContent>
  </w:sdt>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26CD7"/>
    <w:multiLevelType w:val="singleLevel"/>
    <w:tmpl w:val="CA626CD7"/>
    <w:lvl w:ilvl="0" w:tentative="0">
      <w:start w:val="2"/>
      <w:numFmt w:val="decimal"/>
      <w:suff w:val="space"/>
      <w:lvlText w:val="%1."/>
      <w:lvlJc w:val="left"/>
    </w:lvl>
  </w:abstractNum>
  <w:abstractNum w:abstractNumId="1">
    <w:nsid w:val="50B82B0C"/>
    <w:multiLevelType w:val="singleLevel"/>
    <w:tmpl w:val="50B82B0C"/>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AytLQwMDMyNDYwtjRT0lEKTi0uzszPAymwqAUA9PlXwSwAAAA="/>
  </w:docVars>
  <w:rsids>
    <w:rsidRoot w:val="22A751FC"/>
    <w:rsid w:val="00011BB9"/>
    <w:rsid w:val="00012B99"/>
    <w:rsid w:val="000144A4"/>
    <w:rsid w:val="00027589"/>
    <w:rsid w:val="00034786"/>
    <w:rsid w:val="000359AB"/>
    <w:rsid w:val="000855EE"/>
    <w:rsid w:val="00085825"/>
    <w:rsid w:val="00087A82"/>
    <w:rsid w:val="000B0313"/>
    <w:rsid w:val="000B3547"/>
    <w:rsid w:val="000C3B05"/>
    <w:rsid w:val="000C3E10"/>
    <w:rsid w:val="000D432D"/>
    <w:rsid w:val="000D56FD"/>
    <w:rsid w:val="00106F2B"/>
    <w:rsid w:val="0011194D"/>
    <w:rsid w:val="00153746"/>
    <w:rsid w:val="001643BC"/>
    <w:rsid w:val="001801CC"/>
    <w:rsid w:val="0018374B"/>
    <w:rsid w:val="00184870"/>
    <w:rsid w:val="0018772A"/>
    <w:rsid w:val="001B4C42"/>
    <w:rsid w:val="001B7E02"/>
    <w:rsid w:val="001C6772"/>
    <w:rsid w:val="001F2972"/>
    <w:rsid w:val="00223290"/>
    <w:rsid w:val="00235C32"/>
    <w:rsid w:val="002366DA"/>
    <w:rsid w:val="0024534D"/>
    <w:rsid w:val="002453BD"/>
    <w:rsid w:val="00245B66"/>
    <w:rsid w:val="002461D0"/>
    <w:rsid w:val="00251362"/>
    <w:rsid w:val="00254439"/>
    <w:rsid w:val="00262802"/>
    <w:rsid w:val="00265570"/>
    <w:rsid w:val="00265E73"/>
    <w:rsid w:val="00282384"/>
    <w:rsid w:val="00295A65"/>
    <w:rsid w:val="002A39D6"/>
    <w:rsid w:val="002A71E7"/>
    <w:rsid w:val="002B18D4"/>
    <w:rsid w:val="002C4739"/>
    <w:rsid w:val="002D641B"/>
    <w:rsid w:val="002E4A1D"/>
    <w:rsid w:val="0030184C"/>
    <w:rsid w:val="0031684B"/>
    <w:rsid w:val="003202C7"/>
    <w:rsid w:val="003305E9"/>
    <w:rsid w:val="0033351B"/>
    <w:rsid w:val="00373CB3"/>
    <w:rsid w:val="0038139E"/>
    <w:rsid w:val="003825E2"/>
    <w:rsid w:val="003B06C8"/>
    <w:rsid w:val="003D6BCC"/>
    <w:rsid w:val="003F1210"/>
    <w:rsid w:val="003F2BC0"/>
    <w:rsid w:val="00405664"/>
    <w:rsid w:val="004276A3"/>
    <w:rsid w:val="0044604D"/>
    <w:rsid w:val="004460CE"/>
    <w:rsid w:val="00454606"/>
    <w:rsid w:val="0045672F"/>
    <w:rsid w:val="00461B57"/>
    <w:rsid w:val="00462653"/>
    <w:rsid w:val="004709E7"/>
    <w:rsid w:val="00472C41"/>
    <w:rsid w:val="0047621E"/>
    <w:rsid w:val="004C459A"/>
    <w:rsid w:val="004D5B50"/>
    <w:rsid w:val="00503A9D"/>
    <w:rsid w:val="00503DE6"/>
    <w:rsid w:val="00505EEB"/>
    <w:rsid w:val="00514B1E"/>
    <w:rsid w:val="00537919"/>
    <w:rsid w:val="005525AB"/>
    <w:rsid w:val="0057019C"/>
    <w:rsid w:val="00583823"/>
    <w:rsid w:val="0059596C"/>
    <w:rsid w:val="005A11AA"/>
    <w:rsid w:val="005A534F"/>
    <w:rsid w:val="005C6AE6"/>
    <w:rsid w:val="005D0999"/>
    <w:rsid w:val="005F428C"/>
    <w:rsid w:val="006406C4"/>
    <w:rsid w:val="0069272A"/>
    <w:rsid w:val="006E1A81"/>
    <w:rsid w:val="007003A2"/>
    <w:rsid w:val="00705B1E"/>
    <w:rsid w:val="00705BCC"/>
    <w:rsid w:val="00714785"/>
    <w:rsid w:val="00716A7B"/>
    <w:rsid w:val="00717CBA"/>
    <w:rsid w:val="00735422"/>
    <w:rsid w:val="007403F7"/>
    <w:rsid w:val="007545B1"/>
    <w:rsid w:val="007655CC"/>
    <w:rsid w:val="007A4EB5"/>
    <w:rsid w:val="007C4932"/>
    <w:rsid w:val="007F421A"/>
    <w:rsid w:val="00817995"/>
    <w:rsid w:val="008518B3"/>
    <w:rsid w:val="00884289"/>
    <w:rsid w:val="008952E1"/>
    <w:rsid w:val="008B73D8"/>
    <w:rsid w:val="008D5400"/>
    <w:rsid w:val="008D74DA"/>
    <w:rsid w:val="008F3210"/>
    <w:rsid w:val="00902E71"/>
    <w:rsid w:val="0090568D"/>
    <w:rsid w:val="00912005"/>
    <w:rsid w:val="0097489D"/>
    <w:rsid w:val="00996620"/>
    <w:rsid w:val="009A26AD"/>
    <w:rsid w:val="009E6AAA"/>
    <w:rsid w:val="009F09C1"/>
    <w:rsid w:val="00A008A5"/>
    <w:rsid w:val="00A17833"/>
    <w:rsid w:val="00A31030"/>
    <w:rsid w:val="00A368DC"/>
    <w:rsid w:val="00A4564A"/>
    <w:rsid w:val="00AD6C21"/>
    <w:rsid w:val="00AF7AA5"/>
    <w:rsid w:val="00B07A6F"/>
    <w:rsid w:val="00B43F62"/>
    <w:rsid w:val="00B55DFB"/>
    <w:rsid w:val="00B77DE2"/>
    <w:rsid w:val="00BE7477"/>
    <w:rsid w:val="00BF732E"/>
    <w:rsid w:val="00C11113"/>
    <w:rsid w:val="00C22CDB"/>
    <w:rsid w:val="00C474F6"/>
    <w:rsid w:val="00C5186B"/>
    <w:rsid w:val="00C91E61"/>
    <w:rsid w:val="00C94FE4"/>
    <w:rsid w:val="00C96ED8"/>
    <w:rsid w:val="00CB2564"/>
    <w:rsid w:val="00CF603F"/>
    <w:rsid w:val="00D05683"/>
    <w:rsid w:val="00D25D27"/>
    <w:rsid w:val="00D35002"/>
    <w:rsid w:val="00D37A46"/>
    <w:rsid w:val="00D46622"/>
    <w:rsid w:val="00D56093"/>
    <w:rsid w:val="00D933FA"/>
    <w:rsid w:val="00D96A13"/>
    <w:rsid w:val="00DC22F9"/>
    <w:rsid w:val="00DF3337"/>
    <w:rsid w:val="00DF4F63"/>
    <w:rsid w:val="00E031E8"/>
    <w:rsid w:val="00E1060D"/>
    <w:rsid w:val="00E13914"/>
    <w:rsid w:val="00E43E25"/>
    <w:rsid w:val="00E74FD1"/>
    <w:rsid w:val="00EC601B"/>
    <w:rsid w:val="00ED15E3"/>
    <w:rsid w:val="00ED244F"/>
    <w:rsid w:val="00ED31C7"/>
    <w:rsid w:val="00EF3503"/>
    <w:rsid w:val="00EF38A8"/>
    <w:rsid w:val="00F06247"/>
    <w:rsid w:val="00F4425D"/>
    <w:rsid w:val="00F65159"/>
    <w:rsid w:val="00F66D0E"/>
    <w:rsid w:val="00F9002E"/>
    <w:rsid w:val="00FB514D"/>
    <w:rsid w:val="00FC7D53"/>
    <w:rsid w:val="00FD0AD5"/>
    <w:rsid w:val="00FE3793"/>
    <w:rsid w:val="00FE5D40"/>
    <w:rsid w:val="00FF0ED6"/>
    <w:rsid w:val="021C67C9"/>
    <w:rsid w:val="052E04EF"/>
    <w:rsid w:val="09D410DF"/>
    <w:rsid w:val="16371EA5"/>
    <w:rsid w:val="1970274F"/>
    <w:rsid w:val="1C7333F1"/>
    <w:rsid w:val="1C8029C2"/>
    <w:rsid w:val="1EC738FC"/>
    <w:rsid w:val="1F3752EA"/>
    <w:rsid w:val="1F6E73B6"/>
    <w:rsid w:val="22A751FC"/>
    <w:rsid w:val="22E027A5"/>
    <w:rsid w:val="24E5283D"/>
    <w:rsid w:val="254429DB"/>
    <w:rsid w:val="2878467C"/>
    <w:rsid w:val="2A5E6C3E"/>
    <w:rsid w:val="2D0116BF"/>
    <w:rsid w:val="2D7139FF"/>
    <w:rsid w:val="2E415156"/>
    <w:rsid w:val="2ECF542D"/>
    <w:rsid w:val="2F060E7D"/>
    <w:rsid w:val="31E4407D"/>
    <w:rsid w:val="330E322A"/>
    <w:rsid w:val="349C2136"/>
    <w:rsid w:val="35C815F0"/>
    <w:rsid w:val="39A52AD0"/>
    <w:rsid w:val="3B903503"/>
    <w:rsid w:val="3CA12F51"/>
    <w:rsid w:val="3EB219E2"/>
    <w:rsid w:val="3FB711FC"/>
    <w:rsid w:val="3FC25FA4"/>
    <w:rsid w:val="406056A3"/>
    <w:rsid w:val="420A5383"/>
    <w:rsid w:val="43976FAC"/>
    <w:rsid w:val="474106DD"/>
    <w:rsid w:val="48BA2BBD"/>
    <w:rsid w:val="4FC26D13"/>
    <w:rsid w:val="52143045"/>
    <w:rsid w:val="53CA43E0"/>
    <w:rsid w:val="554F0AFA"/>
    <w:rsid w:val="58EE0317"/>
    <w:rsid w:val="5B1E0A99"/>
    <w:rsid w:val="6B7C6092"/>
    <w:rsid w:val="6D8D3004"/>
    <w:rsid w:val="6E4D10D8"/>
    <w:rsid w:val="6E7925BC"/>
    <w:rsid w:val="6EF90035"/>
    <w:rsid w:val="746E1B45"/>
    <w:rsid w:val="7724066E"/>
    <w:rsid w:val="7E360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9"/>
    <w:qFormat/>
    <w:uiPriority w:val="9"/>
    <w:pPr>
      <w:widowControl w:val="0"/>
      <w:spacing w:line="360" w:lineRule="auto"/>
      <w:jc w:val="both"/>
      <w:outlineLvl w:val="0"/>
    </w:pPr>
    <w:rPr>
      <w:rFonts w:eastAsia="黑体"/>
      <w:bCs/>
      <w:kern w:val="44"/>
      <w:sz w:val="28"/>
      <w:szCs w:val="44"/>
    </w:rPr>
  </w:style>
  <w:style w:type="paragraph" w:styleId="3">
    <w:name w:val="heading 2"/>
    <w:basedOn w:val="1"/>
    <w:next w:val="1"/>
    <w:link w:val="30"/>
    <w:qFormat/>
    <w:uiPriority w:val="9"/>
    <w:pPr>
      <w:widowControl w:val="0"/>
      <w:spacing w:line="360" w:lineRule="auto"/>
      <w:jc w:val="both"/>
      <w:outlineLvl w:val="1"/>
    </w:pPr>
    <w:rPr>
      <w:rFonts w:ascii="Cambria" w:hAnsi="Cambria" w:eastAsia="黑体"/>
      <w:bCs/>
      <w:kern w:val="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3"/>
    <w:qFormat/>
    <w:uiPriority w:val="0"/>
  </w:style>
  <w:style w:type="paragraph" w:styleId="5">
    <w:name w:val="Body Text Indent"/>
    <w:basedOn w:val="1"/>
    <w:link w:val="38"/>
    <w:qFormat/>
    <w:uiPriority w:val="0"/>
    <w:pPr>
      <w:widowControl w:val="0"/>
      <w:ind w:firstLine="720" w:firstLineChars="257"/>
      <w:jc w:val="both"/>
    </w:pPr>
    <w:rPr>
      <w:kern w:val="2"/>
      <w:sz w:val="28"/>
    </w:rPr>
  </w:style>
  <w:style w:type="paragraph" w:styleId="6">
    <w:name w:val="Date"/>
    <w:basedOn w:val="1"/>
    <w:next w:val="1"/>
    <w:link w:val="51"/>
    <w:qFormat/>
    <w:uiPriority w:val="0"/>
    <w:pPr>
      <w:widowControl w:val="0"/>
      <w:ind w:left="100" w:leftChars="2500" w:firstLine="200" w:firstLineChars="200"/>
      <w:jc w:val="both"/>
    </w:pPr>
    <w:rPr>
      <w:rFonts w:eastAsia="仿宋_GB2312"/>
      <w:kern w:val="2"/>
      <w:sz w:val="28"/>
    </w:rPr>
  </w:style>
  <w:style w:type="paragraph" w:styleId="7">
    <w:name w:val="Balloon Text"/>
    <w:basedOn w:val="1"/>
    <w:link w:val="37"/>
    <w:qFormat/>
    <w:uiPriority w:val="0"/>
    <w:pPr>
      <w:widowControl w:val="0"/>
      <w:ind w:firstLine="200" w:firstLineChars="200"/>
      <w:jc w:val="both"/>
    </w:pPr>
    <w:rPr>
      <w:rFonts w:eastAsia="仿宋_GB2312"/>
      <w:kern w:val="2"/>
      <w:sz w:val="18"/>
      <w:szCs w:val="18"/>
    </w:rPr>
  </w:style>
  <w:style w:type="paragraph" w:styleId="8">
    <w:name w:val="footer"/>
    <w:basedOn w:val="1"/>
    <w:link w:val="35"/>
    <w:qFormat/>
    <w:uiPriority w:val="99"/>
    <w:pPr>
      <w:tabs>
        <w:tab w:val="center" w:pos="4153"/>
        <w:tab w:val="right" w:pos="8306"/>
      </w:tabs>
      <w:snapToGrid w:val="0"/>
    </w:pPr>
    <w:rPr>
      <w:sz w:val="18"/>
      <w:szCs w:val="18"/>
    </w:rPr>
  </w:style>
  <w:style w:type="paragraph" w:styleId="9">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widowControl w:val="0"/>
      <w:ind w:firstLine="200" w:firstLineChars="200"/>
      <w:jc w:val="both"/>
    </w:pPr>
    <w:rPr>
      <w:rFonts w:eastAsia="仿宋_GB2312"/>
      <w:kern w:val="2"/>
      <w:sz w:val="28"/>
    </w:rPr>
  </w:style>
  <w:style w:type="paragraph" w:styleId="11">
    <w:name w:val="table of figures"/>
    <w:basedOn w:val="1"/>
    <w:next w:val="1"/>
    <w:qFormat/>
    <w:uiPriority w:val="0"/>
    <w:pPr>
      <w:ind w:left="200" w:leftChars="200" w:hanging="200" w:hangingChars="200"/>
    </w:pPr>
  </w:style>
  <w:style w:type="paragraph" w:styleId="12">
    <w:name w:val="toc 2"/>
    <w:basedOn w:val="1"/>
    <w:next w:val="1"/>
    <w:qFormat/>
    <w:uiPriority w:val="39"/>
    <w:pPr>
      <w:widowControl w:val="0"/>
      <w:ind w:left="420" w:leftChars="200" w:firstLine="200" w:firstLineChars="200"/>
      <w:jc w:val="both"/>
    </w:pPr>
    <w:rPr>
      <w:rFonts w:eastAsia="仿宋_GB2312"/>
      <w:kern w:val="2"/>
      <w:sz w:val="28"/>
    </w:rPr>
  </w:style>
  <w:style w:type="paragraph" w:styleId="13">
    <w:name w:val="HTML Preformatted"/>
    <w:basedOn w:val="1"/>
    <w:link w:val="39"/>
    <w:qFormat/>
    <w:uiPriority w:val="0"/>
    <w:pPr>
      <w:widowControl w:val="0"/>
      <w:ind w:firstLine="200" w:firstLineChars="200"/>
      <w:jc w:val="both"/>
    </w:pPr>
    <w:rPr>
      <w:rFonts w:ascii="Courier New" w:hAnsi="Courier New" w:eastAsia="仿宋_GB2312" w:cs="Courier New"/>
      <w:kern w:val="2"/>
      <w:sz w:val="20"/>
      <w:szCs w:val="20"/>
    </w:rPr>
  </w:style>
  <w:style w:type="paragraph" w:styleId="14">
    <w:name w:val="Normal (Web)"/>
    <w:basedOn w:val="1"/>
    <w:unhideWhenUsed/>
    <w:qFormat/>
    <w:uiPriority w:val="99"/>
    <w:pPr>
      <w:spacing w:before="100" w:beforeAutospacing="1" w:after="100" w:afterAutospacing="1"/>
    </w:pPr>
    <w:rPr>
      <w:rFonts w:ascii="宋体" w:hAnsi="宋体" w:cs="宋体"/>
    </w:rPr>
  </w:style>
  <w:style w:type="paragraph" w:styleId="15">
    <w:name w:val="index 1"/>
    <w:basedOn w:val="1"/>
    <w:next w:val="1"/>
    <w:unhideWhenUsed/>
    <w:qFormat/>
    <w:uiPriority w:val="99"/>
    <w:pPr>
      <w:widowControl w:val="0"/>
      <w:jc w:val="both"/>
    </w:pPr>
    <w:rPr>
      <w:kern w:val="2"/>
      <w:sz w:val="21"/>
    </w:rPr>
  </w:style>
  <w:style w:type="paragraph" w:styleId="16">
    <w:name w:val="Title"/>
    <w:basedOn w:val="1"/>
    <w:next w:val="1"/>
    <w:link w:val="34"/>
    <w:qFormat/>
    <w:uiPriority w:val="10"/>
    <w:pPr>
      <w:widowControl w:val="0"/>
      <w:spacing w:before="312" w:beforeLines="100" w:after="312" w:afterLines="100"/>
      <w:jc w:val="center"/>
    </w:pPr>
    <w:rPr>
      <w:rFonts w:ascii="黑体" w:hAnsi="黑体" w:eastAsia="黑体" w:cstheme="minorBidi"/>
      <w:kern w:val="2"/>
    </w:rPr>
  </w:style>
  <w:style w:type="paragraph" w:styleId="17">
    <w:name w:val="annotation subject"/>
    <w:basedOn w:val="4"/>
    <w:next w:val="4"/>
    <w:link w:val="54"/>
    <w:qFormat/>
    <w:uiPriority w:val="0"/>
    <w:rPr>
      <w:b/>
      <w:bCs/>
    </w:rPr>
  </w:style>
  <w:style w:type="table" w:styleId="19">
    <w:name w:val="Table Grid"/>
    <w:basedOn w:val="18"/>
    <w:qFormat/>
    <w:uiPriority w:val="0"/>
    <w:pPr>
      <w:widowControl w:val="0"/>
      <w:ind w:firstLine="200" w:firstLineChars="20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iCs/>
    </w:rPr>
  </w:style>
  <w:style w:type="character" w:styleId="22">
    <w:name w:val="Hyperlink"/>
    <w:qFormat/>
    <w:uiPriority w:val="99"/>
    <w:rPr>
      <w:rFonts w:cs="Times New Roman"/>
      <w:color w:val="0000FF"/>
      <w:u w:val="single"/>
    </w:rPr>
  </w:style>
  <w:style w:type="character" w:styleId="23">
    <w:name w:val="annotation reference"/>
    <w:basedOn w:val="20"/>
    <w:qFormat/>
    <w:uiPriority w:val="0"/>
    <w:rPr>
      <w:sz w:val="21"/>
      <w:szCs w:val="21"/>
    </w:rPr>
  </w:style>
  <w:style w:type="character" w:customStyle="1" w:styleId="24">
    <w:name w:val="页眉 字符"/>
    <w:basedOn w:val="20"/>
    <w:link w:val="9"/>
    <w:qFormat/>
    <w:uiPriority w:val="0"/>
    <w:rPr>
      <w:rFonts w:ascii="Times New Roman" w:hAnsi="Times New Roman" w:eastAsia="宋体" w:cs="Times New Roman"/>
      <w:sz w:val="18"/>
      <w:szCs w:val="18"/>
    </w:rPr>
  </w:style>
  <w:style w:type="paragraph" w:styleId="25">
    <w:name w:val="List Paragraph"/>
    <w:basedOn w:val="1"/>
    <w:qFormat/>
    <w:uiPriority w:val="99"/>
    <w:pPr>
      <w:ind w:firstLine="420" w:firstLineChars="200"/>
    </w:pPr>
  </w:style>
  <w:style w:type="character" w:customStyle="1" w:styleId="26">
    <w:name w:val="标题 1 字符"/>
    <w:basedOn w:val="20"/>
    <w:qFormat/>
    <w:uiPriority w:val="0"/>
    <w:rPr>
      <w:rFonts w:ascii="Times New Roman" w:hAnsi="Times New Roman" w:eastAsia="宋体" w:cs="Times New Roman"/>
      <w:b/>
      <w:bCs/>
      <w:kern w:val="44"/>
      <w:sz w:val="44"/>
      <w:szCs w:val="44"/>
    </w:rPr>
  </w:style>
  <w:style w:type="character" w:customStyle="1" w:styleId="27">
    <w:name w:val="标题 2 字符"/>
    <w:basedOn w:val="20"/>
    <w:semiHidden/>
    <w:qFormat/>
    <w:uiPriority w:val="0"/>
    <w:rPr>
      <w:rFonts w:asciiTheme="majorHAnsi" w:hAnsiTheme="majorHAnsi" w:eastAsiaTheme="majorEastAsia" w:cstheme="majorBidi"/>
      <w:b/>
      <w:bCs/>
      <w:sz w:val="32"/>
      <w:szCs w:val="32"/>
    </w:rPr>
  </w:style>
  <w:style w:type="character" w:customStyle="1" w:styleId="28">
    <w:name w:val="highlight1"/>
    <w:qFormat/>
    <w:uiPriority w:val="0"/>
    <w:rPr>
      <w:color w:val="FF0000"/>
    </w:rPr>
  </w:style>
  <w:style w:type="character" w:customStyle="1" w:styleId="29">
    <w:name w:val="标题 1 字符1"/>
    <w:link w:val="2"/>
    <w:qFormat/>
    <w:uiPriority w:val="9"/>
    <w:rPr>
      <w:rFonts w:ascii="Times New Roman" w:hAnsi="Times New Roman" w:eastAsia="黑体" w:cs="Times New Roman"/>
      <w:bCs/>
      <w:kern w:val="44"/>
      <w:sz w:val="28"/>
      <w:szCs w:val="44"/>
    </w:rPr>
  </w:style>
  <w:style w:type="character" w:customStyle="1" w:styleId="30">
    <w:name w:val="标题 2 字符1"/>
    <w:link w:val="3"/>
    <w:qFormat/>
    <w:uiPriority w:val="9"/>
    <w:rPr>
      <w:rFonts w:ascii="Cambria" w:hAnsi="Cambria" w:eastAsia="黑体" w:cs="Times New Roman"/>
      <w:bCs/>
      <w:kern w:val="2"/>
      <w:sz w:val="24"/>
      <w:szCs w:val="32"/>
    </w:rPr>
  </w:style>
  <w:style w:type="character" w:customStyle="1" w:styleId="31">
    <w:name w:val="不明显强调1"/>
    <w:qFormat/>
    <w:uiPriority w:val="19"/>
    <w:rPr>
      <w:i/>
      <w:iCs/>
      <w:color w:val="404040"/>
    </w:rPr>
  </w:style>
  <w:style w:type="character" w:customStyle="1" w:styleId="32">
    <w:name w:val="段 Char"/>
    <w:link w:val="33"/>
    <w:qFormat/>
    <w:uiPriority w:val="0"/>
    <w:rPr>
      <w:rFonts w:ascii="宋体"/>
      <w:sz w:val="21"/>
    </w:rPr>
  </w:style>
  <w:style w:type="paragraph" w:customStyle="1" w:styleId="33">
    <w:name w:val="段"/>
    <w:link w:val="32"/>
    <w:qFormat/>
    <w:uiPriority w:val="0"/>
    <w:pPr>
      <w:autoSpaceDE w:val="0"/>
      <w:autoSpaceDN w:val="0"/>
      <w:ind w:firstLine="200" w:firstLineChars="200"/>
      <w:jc w:val="both"/>
    </w:pPr>
    <w:rPr>
      <w:rFonts w:ascii="宋体" w:hAnsiTheme="minorHAnsi" w:eastAsiaTheme="minorEastAsia" w:cstheme="minorBidi"/>
      <w:sz w:val="21"/>
      <w:lang w:val="en-US" w:eastAsia="zh-CN" w:bidi="ar-SA"/>
    </w:rPr>
  </w:style>
  <w:style w:type="character" w:customStyle="1" w:styleId="34">
    <w:name w:val="标题 字符"/>
    <w:link w:val="16"/>
    <w:qFormat/>
    <w:uiPriority w:val="10"/>
    <w:rPr>
      <w:rFonts w:ascii="黑体" w:hAnsi="黑体" w:eastAsia="黑体"/>
      <w:kern w:val="2"/>
      <w:sz w:val="24"/>
      <w:szCs w:val="24"/>
    </w:rPr>
  </w:style>
  <w:style w:type="character" w:customStyle="1" w:styleId="35">
    <w:name w:val="页脚 字符"/>
    <w:link w:val="8"/>
    <w:qFormat/>
    <w:uiPriority w:val="99"/>
    <w:rPr>
      <w:rFonts w:ascii="Times New Roman" w:hAnsi="Times New Roman" w:eastAsia="宋体" w:cs="Times New Roman"/>
      <w:sz w:val="18"/>
      <w:szCs w:val="18"/>
    </w:rPr>
  </w:style>
  <w:style w:type="paragraph" w:customStyle="1" w:styleId="36">
    <w:name w:val="TOC 标题1"/>
    <w:basedOn w:val="2"/>
    <w:next w:val="1"/>
    <w:qFormat/>
    <w:uiPriority w:val="39"/>
    <w:pPr>
      <w:keepNext/>
      <w:keepLines/>
      <w:widowControl/>
      <w:spacing w:before="240" w:line="259" w:lineRule="auto"/>
      <w:jc w:val="left"/>
      <w:outlineLvl w:val="9"/>
    </w:pPr>
    <w:rPr>
      <w:rFonts w:ascii="等线 Light" w:hAnsi="等线 Light" w:eastAsia="等线 Light"/>
      <w:bCs w:val="0"/>
      <w:color w:val="2F5496"/>
      <w:kern w:val="0"/>
      <w:szCs w:val="32"/>
    </w:rPr>
  </w:style>
  <w:style w:type="character" w:customStyle="1" w:styleId="37">
    <w:name w:val="批注框文本 字符"/>
    <w:basedOn w:val="20"/>
    <w:link w:val="7"/>
    <w:qFormat/>
    <w:uiPriority w:val="0"/>
    <w:rPr>
      <w:rFonts w:ascii="Times New Roman" w:hAnsi="Times New Roman" w:eastAsia="仿宋_GB2312" w:cs="Times New Roman"/>
      <w:kern w:val="2"/>
      <w:sz w:val="18"/>
      <w:szCs w:val="18"/>
    </w:rPr>
  </w:style>
  <w:style w:type="character" w:customStyle="1" w:styleId="38">
    <w:name w:val="正文文本缩进 字符"/>
    <w:basedOn w:val="20"/>
    <w:link w:val="5"/>
    <w:qFormat/>
    <w:uiPriority w:val="0"/>
    <w:rPr>
      <w:rFonts w:ascii="Times New Roman" w:hAnsi="Times New Roman" w:eastAsia="宋体" w:cs="Times New Roman"/>
      <w:kern w:val="2"/>
      <w:sz w:val="28"/>
      <w:szCs w:val="24"/>
    </w:rPr>
  </w:style>
  <w:style w:type="character" w:customStyle="1" w:styleId="39">
    <w:name w:val="HTML 预设格式 字符"/>
    <w:basedOn w:val="20"/>
    <w:link w:val="13"/>
    <w:qFormat/>
    <w:uiPriority w:val="0"/>
    <w:rPr>
      <w:rFonts w:ascii="Courier New" w:hAnsi="Courier New" w:eastAsia="仿宋_GB2312" w:cs="Courier New"/>
      <w:kern w:val="2"/>
    </w:rPr>
  </w:style>
  <w:style w:type="character" w:customStyle="1" w:styleId="40">
    <w:name w:val="页脚 字符1"/>
    <w:basedOn w:val="20"/>
    <w:semiHidden/>
    <w:qFormat/>
    <w:uiPriority w:val="99"/>
    <w:rPr>
      <w:rFonts w:eastAsia="仿宋_GB2312"/>
      <w:kern w:val="2"/>
      <w:sz w:val="18"/>
      <w:szCs w:val="18"/>
    </w:rPr>
  </w:style>
  <w:style w:type="character" w:customStyle="1" w:styleId="41">
    <w:name w:val="标题 字符1"/>
    <w:basedOn w:val="20"/>
    <w:qFormat/>
    <w:uiPriority w:val="10"/>
    <w:rPr>
      <w:rFonts w:asciiTheme="majorHAnsi" w:hAnsiTheme="majorHAnsi" w:eastAsiaTheme="majorEastAsia" w:cstheme="majorBidi"/>
      <w:b/>
      <w:bCs/>
      <w:sz w:val="32"/>
      <w:szCs w:val="32"/>
    </w:rPr>
  </w:style>
  <w:style w:type="paragraph" w:customStyle="1" w:styleId="42">
    <w:name w:val="四级条标题"/>
    <w:basedOn w:val="1"/>
    <w:next w:val="33"/>
    <w:qFormat/>
    <w:uiPriority w:val="0"/>
    <w:pPr>
      <w:spacing w:before="50" w:beforeLines="50" w:after="50" w:afterLines="50"/>
      <w:outlineLvl w:val="5"/>
    </w:pPr>
    <w:rPr>
      <w:rFonts w:ascii="黑体" w:eastAsia="黑体"/>
      <w:sz w:val="21"/>
      <w:szCs w:val="21"/>
    </w:rPr>
  </w:style>
  <w:style w:type="paragraph" w:customStyle="1" w:styleId="43">
    <w:name w:val="Char"/>
    <w:basedOn w:val="1"/>
    <w:qFormat/>
    <w:uiPriority w:val="0"/>
    <w:pPr>
      <w:widowControl w:val="0"/>
      <w:ind w:left="100" w:leftChars="100" w:right="100" w:rightChars="100" w:firstLine="300" w:firstLineChars="300"/>
      <w:jc w:val="both"/>
    </w:pPr>
    <w:rPr>
      <w:kern w:val="2"/>
      <w:sz w:val="21"/>
    </w:rPr>
  </w:style>
  <w:style w:type="paragraph" w:customStyle="1" w:styleId="44">
    <w:name w:val="章标题"/>
    <w:next w:val="33"/>
    <w:qFormat/>
    <w:uiPriority w:val="0"/>
    <w:pPr>
      <w:spacing w:before="50" w:beforeLines="50" w:after="50" w:afterLines="50"/>
      <w:ind w:left="315"/>
      <w:jc w:val="both"/>
      <w:outlineLvl w:val="1"/>
    </w:pPr>
    <w:rPr>
      <w:rFonts w:ascii="黑体" w:hAnsi="Times New Roman" w:eastAsia="黑体" w:cs="Times New Roman"/>
      <w:sz w:val="21"/>
      <w:lang w:val="en-US" w:eastAsia="zh-CN" w:bidi="ar-SA"/>
    </w:rPr>
  </w:style>
  <w:style w:type="paragraph" w:customStyle="1" w:styleId="45">
    <w:name w:val="图表脚注"/>
    <w:next w:val="33"/>
    <w:qFormat/>
    <w:uiPriority w:val="0"/>
    <w:pPr>
      <w:jc w:val="both"/>
    </w:pPr>
    <w:rPr>
      <w:rFonts w:ascii="宋体" w:hAnsi="Times New Roman" w:eastAsia="宋体" w:cs="Times New Roman"/>
      <w:sz w:val="18"/>
      <w:lang w:val="en-US" w:eastAsia="zh-CN" w:bidi="ar-SA"/>
    </w:rPr>
  </w:style>
  <w:style w:type="paragraph" w:customStyle="1" w:styleId="46">
    <w:name w:val="一级条标题"/>
    <w:next w:val="33"/>
    <w:qFormat/>
    <w:uiPriority w:val="0"/>
    <w:pPr>
      <w:outlineLvl w:val="2"/>
    </w:pPr>
    <w:rPr>
      <w:rFonts w:ascii="Times New Roman" w:hAnsi="Times New Roman" w:eastAsia="黑体" w:cs="Times New Roman"/>
      <w:sz w:val="21"/>
      <w:lang w:val="en-US" w:eastAsia="zh-CN" w:bidi="ar-SA"/>
    </w:rPr>
  </w:style>
  <w:style w:type="paragraph" w:customStyle="1" w:styleId="47">
    <w:name w:val="实施日期"/>
    <w:basedOn w:val="1"/>
    <w:qFormat/>
    <w:uiPriority w:val="0"/>
    <w:pPr>
      <w:framePr w:w="4000" w:h="473" w:hRule="exact" w:vSpace="180" w:wrap="around" w:vAnchor="margin" w:hAnchor="margin" w:xAlign="right" w:y="13511" w:anchorLock="1"/>
      <w:jc w:val="right"/>
    </w:pPr>
    <w:rPr>
      <w:rFonts w:eastAsia="黑体"/>
      <w:sz w:val="28"/>
      <w:szCs w:val="20"/>
    </w:rPr>
  </w:style>
  <w:style w:type="paragraph" w:customStyle="1" w:styleId="48">
    <w:name w:val="二级条标题"/>
    <w:basedOn w:val="46"/>
    <w:next w:val="33"/>
    <w:qFormat/>
    <w:uiPriority w:val="0"/>
    <w:pPr>
      <w:outlineLvl w:val="3"/>
    </w:pPr>
  </w:style>
  <w:style w:type="paragraph" w:customStyle="1" w:styleId="49">
    <w:name w:val="Char Char4"/>
    <w:basedOn w:val="1"/>
    <w:qFormat/>
    <w:uiPriority w:val="0"/>
    <w:pPr>
      <w:widowControl w:val="0"/>
      <w:tabs>
        <w:tab w:val="left" w:pos="720"/>
      </w:tabs>
      <w:ind w:left="420" w:hanging="420"/>
      <w:jc w:val="both"/>
    </w:pPr>
    <w:rPr>
      <w:snapToGrid w:val="0"/>
      <w:szCs w:val="21"/>
    </w:rPr>
  </w:style>
  <w:style w:type="paragraph" w:customStyle="1" w:styleId="50">
    <w:name w:val="五级条标题"/>
    <w:basedOn w:val="42"/>
    <w:next w:val="33"/>
    <w:qFormat/>
    <w:uiPriority w:val="0"/>
    <w:pPr>
      <w:outlineLvl w:val="6"/>
    </w:pPr>
  </w:style>
  <w:style w:type="character" w:customStyle="1" w:styleId="51">
    <w:name w:val="日期 字符"/>
    <w:basedOn w:val="20"/>
    <w:link w:val="6"/>
    <w:qFormat/>
    <w:uiPriority w:val="0"/>
    <w:rPr>
      <w:rFonts w:ascii="Times New Roman" w:hAnsi="Times New Roman" w:eastAsia="仿宋_GB2312" w:cs="Times New Roman"/>
      <w:kern w:val="2"/>
      <w:sz w:val="28"/>
      <w:szCs w:val="24"/>
    </w:rPr>
  </w:style>
  <w:style w:type="table" w:customStyle="1" w:styleId="52">
    <w:name w:val="网格型1"/>
    <w:basedOn w:val="18"/>
    <w:qFormat/>
    <w:uiPriority w:val="39"/>
    <w:rPr>
      <w:rFonts w:ascii="等线" w:hAnsi="等线" w:eastAsia="等线"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
    <w:name w:val="批注文字 字符"/>
    <w:basedOn w:val="20"/>
    <w:link w:val="4"/>
    <w:qFormat/>
    <w:uiPriority w:val="0"/>
    <w:rPr>
      <w:rFonts w:ascii="Times New Roman" w:hAnsi="Times New Roman" w:eastAsia="宋体" w:cs="Times New Roman"/>
      <w:sz w:val="24"/>
      <w:szCs w:val="24"/>
    </w:rPr>
  </w:style>
  <w:style w:type="character" w:customStyle="1" w:styleId="54">
    <w:name w:val="批注主题 字符"/>
    <w:basedOn w:val="53"/>
    <w:link w:val="17"/>
    <w:qFormat/>
    <w:uiPriority w:val="0"/>
    <w:rPr>
      <w:rFonts w:ascii="Times New Roman" w:hAnsi="Times New Roman" w:eastAsia="宋体" w:cs="Times New Roman"/>
      <w:b/>
      <w:bCs/>
      <w:sz w:val="24"/>
      <w:szCs w:val="24"/>
    </w:rPr>
  </w:style>
  <w:style w:type="paragraph" w:customStyle="1" w:styleId="55">
    <w:name w:val="表格"/>
    <w:basedOn w:val="11"/>
    <w:next w:val="1"/>
    <w:link w:val="56"/>
    <w:qFormat/>
    <w:uiPriority w:val="0"/>
    <w:pPr>
      <w:widowControl w:val="0"/>
      <w:ind w:left="0" w:leftChars="0" w:firstLine="0" w:firstLineChars="0"/>
      <w:jc w:val="center"/>
    </w:pPr>
    <w:rPr>
      <w:rFonts w:cstheme="minorBidi"/>
      <w:kern w:val="2"/>
      <w:sz w:val="21"/>
      <w:szCs w:val="21"/>
    </w:rPr>
  </w:style>
  <w:style w:type="character" w:customStyle="1" w:styleId="56">
    <w:name w:val="表格 Char"/>
    <w:basedOn w:val="20"/>
    <w:link w:val="55"/>
    <w:qFormat/>
    <w:uiPriority w:val="0"/>
    <w:rPr>
      <w:rFonts w:ascii="Times New Roman" w:hAnsi="Times New Roman" w:eastAsia="宋体"/>
      <w:kern w:val="2"/>
      <w:sz w:val="21"/>
      <w:szCs w:val="21"/>
    </w:rPr>
  </w:style>
  <w:style w:type="paragraph" w:customStyle="1" w:styleId="57">
    <w:name w:val="一级标题"/>
    <w:basedOn w:val="2"/>
    <w:next w:val="1"/>
    <w:qFormat/>
    <w:uiPriority w:val="0"/>
    <w:pPr>
      <w:adjustRightInd w:val="0"/>
      <w:snapToGrid w:val="0"/>
      <w:spacing w:before="100" w:beforeLines="100" w:after="100" w:afterLines="100" w:line="240" w:lineRule="auto"/>
      <w:jc w:val="left"/>
    </w:pPr>
    <w:rPr>
      <w:rFonts w:hint="eastAsia"/>
      <w:bCs w:val="0"/>
      <w:sz w:val="32"/>
      <w:szCs w:val="30"/>
    </w:rPr>
  </w:style>
  <w:style w:type="paragraph" w:customStyle="1" w:styleId="58">
    <w:name w:val="二级标题"/>
    <w:basedOn w:val="3"/>
    <w:next w:val="1"/>
    <w:qFormat/>
    <w:uiPriority w:val="0"/>
    <w:pPr>
      <w:adjustRightInd w:val="0"/>
      <w:snapToGrid w:val="0"/>
      <w:spacing w:before="100" w:beforeLines="100" w:after="100" w:afterLines="100" w:line="240" w:lineRule="auto"/>
    </w:pPr>
    <w:rPr>
      <w:rFonts w:ascii="黑体" w:hAnsi="黑体"/>
      <w:sz w:val="28"/>
      <w:szCs w:val="3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22601</Words>
  <Characters>27614</Characters>
  <Lines>212</Lines>
  <Paragraphs>59</Paragraphs>
  <TotalTime>7</TotalTime>
  <ScaleCrop>false</ScaleCrop>
  <LinksUpToDate>false</LinksUpToDate>
  <CharactersWithSpaces>28599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2022-04-12T09:15:00Z</dcterms:created>
  <dc:creator>刘慧敏</dc:creator>
  <cp:lastModifiedBy>张海燕</cp:lastModifiedBy>
  <cp:lastPrinted>2022-04-22T05:43:18Z</cp:lastPrinted>
  <dcterms:modified xsi:type="dcterms:W3CDTF">2022-04-22T06:03:07Z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FEBC4D12FDC24D8FBE3FF303B13841E7</vt:lpwstr>
  </property>
</Properties>
</file>